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3371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7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San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Diego,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CA</w:t>
      </w:r>
    </w:p>
    <w:p>
      <w:pPr>
        <w:pStyle w:val="BodyText"/>
        <w:spacing w:before="66"/>
        <w:ind w:left="0"/>
        <w:rPr>
          <w:sz w:val="16"/>
        </w:rPr>
      </w:pPr>
    </w:p>
    <w:p>
      <w:pPr>
        <w:spacing w:before="1"/>
        <w:ind w:left="0" w:right="13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Olivia</w:t>
      </w:r>
      <w:r>
        <w:rPr>
          <w:b/>
          <w:color w:val="FFFFFF"/>
          <w:spacing w:val="32"/>
          <w:sz w:val="78"/>
        </w:rPr>
        <w:t> </w:t>
      </w:r>
      <w:r>
        <w:rPr>
          <w:color w:val="FFFFFF"/>
          <w:spacing w:val="4"/>
          <w:sz w:val="78"/>
        </w:rPr>
        <w:t>Kim</w:t>
      </w:r>
    </w:p>
    <w:p>
      <w:pPr>
        <w:pStyle w:val="Heading2"/>
      </w:pPr>
      <w:r>
        <w:rPr>
          <w:color w:val="FFFFFF"/>
        </w:rPr>
        <w:t>Tax</w:t>
      </w:r>
      <w:r>
        <w:rPr>
          <w:color w:val="FFFFFF"/>
          <w:spacing w:val="4"/>
        </w:rPr>
        <w:t> </w:t>
      </w:r>
      <w:r>
        <w:rPr>
          <w:color w:val="FFFFFF"/>
        </w:rPr>
        <w:t>Accounting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Assistant</w:t>
      </w:r>
    </w:p>
    <w:p>
      <w:pPr>
        <w:spacing w:line="273" w:lineRule="auto" w:before="185"/>
        <w:ind w:left="401" w:right="358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tax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accounting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10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specializing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individual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corporate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tax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return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preparation,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compliance oversight,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audit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management.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identifying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tax-saving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opportunities,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maintaining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regulatory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across multiple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jurisdictions,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client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documentation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IRS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audits.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consistent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accuracy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high-volume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filing seasons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ability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translate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complex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tax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regulations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actionable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client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guidance.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566" w:right="283"/>
        </w:sectPr>
      </w:pPr>
    </w:p>
    <w:p>
      <w:pPr>
        <w:pStyle w:val="Heading1"/>
        <w:spacing w:before="53"/>
      </w:pPr>
      <w:r>
        <w:rPr>
          <w:color w:val="F5F5F5"/>
          <w:spacing w:val="-2"/>
        </w:rPr>
        <w:t>EDUCATION</w:t>
      </w:r>
    </w:p>
    <w:p>
      <w:pPr>
        <w:pStyle w:val="BodyText"/>
        <w:spacing w:before="154"/>
        <w:ind w:left="0"/>
        <w:rPr>
          <w:b/>
          <w:sz w:val="28"/>
        </w:rPr>
      </w:pPr>
    </w:p>
    <w:p>
      <w:pPr>
        <w:pStyle w:val="BodyText"/>
        <w:spacing w:line="261" w:lineRule="auto" w:before="1"/>
        <w:ind w:left="233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Accounting</w:t>
      </w:r>
    </w:p>
    <w:p>
      <w:pPr>
        <w:pStyle w:val="BodyText"/>
        <w:spacing w:before="106"/>
        <w:ind w:left="0"/>
      </w:pPr>
    </w:p>
    <w:p>
      <w:pPr>
        <w:pStyle w:val="BodyText"/>
        <w:spacing w:line="261" w:lineRule="auto"/>
        <w:ind w:left="233"/>
      </w:pPr>
      <w:r>
        <w:rPr/>
        <w:t>San Diego State University, San Diego, CA</w:t>
      </w:r>
    </w:p>
    <w:p>
      <w:pPr>
        <w:pStyle w:val="BodyText"/>
        <w:spacing w:before="14"/>
        <w:ind w:left="233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ind w:left="0"/>
      </w:pPr>
    </w:p>
    <w:p>
      <w:pPr>
        <w:pStyle w:val="BodyText"/>
        <w:spacing w:before="170"/>
        <w:ind w:left="0"/>
      </w:pPr>
    </w:p>
    <w:p>
      <w:pPr>
        <w:pStyle w:val="Heading1"/>
      </w:pPr>
      <w:r>
        <w:rPr>
          <w:color w:val="F5F5F5"/>
        </w:rPr>
        <w:t>KEY</w:t>
      </w:r>
      <w:r>
        <w:rPr>
          <w:color w:val="F5F5F5"/>
          <w:spacing w:val="-14"/>
        </w:rPr>
        <w:t> </w:t>
      </w:r>
      <w:r>
        <w:rPr>
          <w:color w:val="F5F5F5"/>
          <w:spacing w:val="-2"/>
        </w:rPr>
        <w:t>SKILLS</w:t>
      </w:r>
    </w:p>
    <w:p>
      <w:pPr>
        <w:spacing w:before="68"/>
        <w:ind w:left="66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8B0000"/>
          <w:spacing w:val="-2"/>
          <w:sz w:val="28"/>
        </w:rPr>
        <w:t>PROFESSIONAL</w:t>
      </w:r>
      <w:r>
        <w:rPr>
          <w:b/>
          <w:color w:val="8B0000"/>
          <w:spacing w:val="-16"/>
          <w:sz w:val="28"/>
        </w:rPr>
        <w:t> </w:t>
      </w:r>
      <w:r>
        <w:rPr>
          <w:b/>
          <w:color w:val="8B0000"/>
          <w:spacing w:val="-2"/>
          <w:sz w:val="28"/>
        </w:rPr>
        <w:t>EXPERIENCE</w:t>
      </w:r>
    </w:p>
    <w:p>
      <w:pPr>
        <w:pStyle w:val="BodyText"/>
        <w:spacing w:before="180"/>
        <w:ind w:left="66"/>
      </w:pPr>
      <w:r>
        <w:rPr>
          <w:w w:val="105"/>
        </w:rPr>
        <w:t>Tax</w:t>
      </w:r>
      <w:r>
        <w:rPr>
          <w:spacing w:val="-6"/>
          <w:w w:val="105"/>
        </w:rPr>
        <w:t> </w:t>
      </w:r>
      <w:r>
        <w:rPr>
          <w:w w:val="105"/>
        </w:rPr>
        <w:t>Accounting</w:t>
      </w:r>
      <w:r>
        <w:rPr>
          <w:spacing w:val="-6"/>
          <w:w w:val="105"/>
        </w:rPr>
        <w:t> </w:t>
      </w:r>
      <w:r>
        <w:rPr>
          <w:w w:val="105"/>
        </w:rPr>
        <w:t>Assistant</w:t>
      </w:r>
      <w:r>
        <w:rPr>
          <w:spacing w:val="5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"/>
          <w:w w:val="105"/>
          <w:position w:val="2"/>
        </w:rPr>
        <w:t> </w:t>
      </w:r>
      <w:r>
        <w:rPr>
          <w:w w:val="105"/>
        </w:rPr>
        <w:t>Bright</w:t>
      </w:r>
      <w:r>
        <w:rPr>
          <w:spacing w:val="1"/>
          <w:w w:val="105"/>
        </w:rPr>
        <w:t> </w:t>
      </w:r>
      <w:r>
        <w:rPr>
          <w:w w:val="105"/>
        </w:rPr>
        <w:t>Tax</w:t>
      </w:r>
      <w:r>
        <w:rPr>
          <w:spacing w:val="-6"/>
          <w:w w:val="105"/>
        </w:rPr>
        <w:t> </w:t>
      </w:r>
      <w:r>
        <w:rPr>
          <w:w w:val="105"/>
        </w:rPr>
        <w:t>Advisors</w:t>
      </w:r>
      <w:r>
        <w:rPr>
          <w:spacing w:val="5"/>
          <w:w w:val="105"/>
        </w:rPr>
        <w:t> </w:t>
      </w:r>
      <w:r>
        <w:rPr>
          <w:w w:val="105"/>
        </w:rPr>
        <w:t>,</w:t>
      </w:r>
      <w:r>
        <w:rPr>
          <w:spacing w:val="6"/>
          <w:w w:val="105"/>
        </w:rPr>
        <w:t> </w:t>
      </w:r>
      <w:r>
        <w:rPr>
          <w:w w:val="105"/>
        </w:rPr>
        <w:t>San</w:t>
      </w:r>
      <w:r>
        <w:rPr>
          <w:spacing w:val="4"/>
          <w:w w:val="105"/>
        </w:rPr>
        <w:t> </w:t>
      </w:r>
      <w:r>
        <w:rPr>
          <w:w w:val="105"/>
        </w:rPr>
        <w:t>Diego,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25"/>
        <w:ind w:left="66"/>
      </w:pPr>
      <w:r>
        <w:rPr/>
        <w:t>February</w:t>
      </w:r>
      <w:r>
        <w:rPr>
          <w:spacing w:val="28"/>
        </w:rPr>
        <w:t> </w:t>
      </w:r>
      <w:r>
        <w:rPr/>
        <w:t>2017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>
          <w:spacing w:val="-2"/>
        </w:rPr>
        <w:t>Present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0" w:after="0"/>
        <w:ind w:left="568" w:right="138" w:hanging="298"/>
        <w:jc w:val="left"/>
        <w:rPr>
          <w:sz w:val="18"/>
        </w:rPr>
      </w:pPr>
      <w:r>
        <w:rPr>
          <w:w w:val="105"/>
          <w:sz w:val="18"/>
        </w:rPr>
        <w:t>Prepared 200+ individual tax returns annually, achieving a 95% error-free rate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amendment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requests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40%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pre-filing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checklist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82" w:after="0"/>
        <w:ind w:left="568" w:right="110" w:hanging="298"/>
        <w:jc w:val="left"/>
        <w:rPr>
          <w:sz w:val="18"/>
        </w:rPr>
      </w:pPr>
      <w:r>
        <w:rPr>
          <w:w w:val="105"/>
          <w:sz w:val="18"/>
        </w:rPr>
        <w:t>Assisted in corporate tax filings for 30+ small businesses, identifying $20,000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tax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savings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fiscal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2022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deduction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credit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9" w:after="0"/>
        <w:ind w:left="568" w:right="375" w:hanging="298"/>
        <w:jc w:val="left"/>
        <w:rPr>
          <w:sz w:val="18"/>
        </w:rPr>
      </w:pPr>
      <w:r>
        <w:rPr>
          <w:w w:val="105"/>
          <w:sz w:val="18"/>
        </w:rPr>
        <w:t>Managed client audit documentation for 15 IRS audits over tenure, achieving 100% on-time submission of requested documentation with zero penalty</w:t>
      </w:r>
    </w:p>
    <w:p>
      <w:pPr>
        <w:pStyle w:val="BodyText"/>
        <w:spacing w:before="41"/>
        <w:ind w:left="568"/>
      </w:pPr>
      <w:r>
        <w:rPr>
          <w:spacing w:val="-2"/>
          <w:w w:val="105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34" w:after="0"/>
        <w:ind w:left="568" w:right="666" w:hanging="298"/>
        <w:jc w:val="left"/>
        <w:rPr>
          <w:sz w:val="18"/>
        </w:rPr>
      </w:pPr>
      <w:r>
        <w:rPr>
          <w:w w:val="105"/>
          <w:sz w:val="18"/>
        </w:rPr>
        <w:t>Maintained multi-jurisdiction compliance tracking for 80+ client accounts,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ensuring zero late filings across 7 consecutive tax seasons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566" w:right="283"/>
          <w:cols w:num="2" w:equalWidth="0">
            <w:col w:w="2851" w:space="627"/>
            <w:col w:w="7593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44" w:after="0"/>
        <w:ind w:left="531" w:right="82" w:hanging="298"/>
        <w:jc w:val="left"/>
        <w:rPr>
          <w:sz w:val="18"/>
        </w:rPr>
      </w:pPr>
      <w:r>
        <w:rPr>
          <w:w w:val="105"/>
          <w:sz w:val="18"/>
        </w:rPr>
        <w:t>Individual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corporate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tax return preparation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10" w:after="0"/>
        <w:ind w:left="531" w:right="38" w:hanging="298"/>
        <w:jc w:val="left"/>
        <w:rPr>
          <w:sz w:val="18"/>
        </w:rPr>
      </w:pPr>
      <w:r>
        <w:rPr>
          <w:spacing w:val="-2"/>
          <w:w w:val="105"/>
          <w:sz w:val="18"/>
        </w:rPr>
        <w:t>Regulatory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(IRS, </w:t>
      </w:r>
      <w:r>
        <w:rPr>
          <w:w w:val="105"/>
          <w:sz w:val="18"/>
        </w:rPr>
        <w:t>state, local)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9" w:after="0"/>
        <w:ind w:left="531" w:right="354" w:hanging="298"/>
        <w:jc w:val="left"/>
        <w:rPr>
          <w:sz w:val="18"/>
        </w:rPr>
      </w:pPr>
      <w:r>
        <w:rPr>
          <w:w w:val="105"/>
          <w:sz w:val="18"/>
        </w:rPr>
        <w:t>Tax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deduction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credit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49" w:after="0"/>
        <w:ind w:left="531" w:right="62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Reviewed and quality-checked 50+ client tax forms per week during peak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season, maintaining throughput while holding error rates below 3%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720" w:hanging="298"/>
        <w:jc w:val="left"/>
        <w:rPr>
          <w:sz w:val="18"/>
        </w:rPr>
      </w:pPr>
      <w:r>
        <w:rPr>
          <w:w w:val="105"/>
          <w:sz w:val="18"/>
        </w:rPr>
        <w:t>Trained 2 junior tax associates on return preparation procedures and IRS compliance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standards,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error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30%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90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days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566" w:right="283"/>
          <w:cols w:num="2" w:equalWidth="0">
            <w:col w:w="2951" w:space="565"/>
            <w:col w:w="7555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1" w:after="0"/>
        <w:ind w:left="531" w:right="38" w:hanging="298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audit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preparation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documentation</w:t>
      </w:r>
    </w:p>
    <w:p>
      <w:pPr>
        <w:pStyle w:val="BodyText"/>
        <w:spacing w:line="205" w:lineRule="exact"/>
        <w:ind w:left="233"/>
      </w:pPr>
      <w:r>
        <w:rPr/>
        <w:br w:type="column"/>
      </w:r>
      <w:r>
        <w:rPr>
          <w:w w:val="105"/>
        </w:rPr>
        <w:t>Tax</w:t>
      </w:r>
      <w:r>
        <w:rPr>
          <w:spacing w:val="-4"/>
          <w:w w:val="105"/>
        </w:rPr>
        <w:t> </w:t>
      </w:r>
      <w:r>
        <w:rPr>
          <w:w w:val="105"/>
        </w:rPr>
        <w:t>Associate</w:t>
      </w:r>
      <w:r>
        <w:rPr>
          <w:spacing w:val="6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7"/>
          <w:w w:val="105"/>
          <w:position w:val="2"/>
        </w:rPr>
        <w:t> </w:t>
      </w:r>
      <w:r>
        <w:rPr>
          <w:w w:val="105"/>
        </w:rPr>
        <w:t>Coastal</w:t>
      </w:r>
      <w:r>
        <w:rPr>
          <w:spacing w:val="-4"/>
          <w:w w:val="105"/>
        </w:rPr>
        <w:t> </w:t>
      </w:r>
      <w:r>
        <w:rPr>
          <w:w w:val="105"/>
        </w:rPr>
        <w:t>Accounting</w:t>
      </w:r>
      <w:r>
        <w:rPr>
          <w:spacing w:val="7"/>
          <w:w w:val="105"/>
        </w:rPr>
        <w:t> </w:t>
      </w:r>
      <w:r>
        <w:rPr>
          <w:w w:val="105"/>
        </w:rPr>
        <w:t>Solutions</w:t>
      </w:r>
      <w:r>
        <w:rPr>
          <w:spacing w:val="7"/>
          <w:w w:val="105"/>
        </w:rPr>
        <w:t> </w:t>
      </w:r>
      <w:r>
        <w:rPr>
          <w:w w:val="105"/>
        </w:rPr>
        <w:t>,</w:t>
      </w:r>
      <w:r>
        <w:rPr>
          <w:spacing w:val="7"/>
          <w:w w:val="105"/>
        </w:rPr>
        <w:t> </w:t>
      </w:r>
      <w:r>
        <w:rPr>
          <w:w w:val="105"/>
        </w:rPr>
        <w:t>San</w:t>
      </w:r>
      <w:r>
        <w:rPr>
          <w:spacing w:val="6"/>
          <w:w w:val="105"/>
        </w:rPr>
        <w:t> </w:t>
      </w:r>
      <w:r>
        <w:rPr>
          <w:w w:val="105"/>
        </w:rPr>
        <w:t>Diego,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24"/>
        <w:ind w:left="233"/>
      </w:pPr>
      <w:r>
        <w:rPr/>
        <w:t>May</w:t>
      </w:r>
      <w:r>
        <w:rPr>
          <w:spacing w:val="26"/>
        </w:rPr>
        <w:t> </w:t>
      </w:r>
      <w:r>
        <w:rPr/>
        <w:t>2015</w:t>
      </w:r>
      <w:r>
        <w:rPr>
          <w:spacing w:val="27"/>
        </w:rPr>
        <w:t> </w:t>
      </w:r>
      <w:r>
        <w:rPr/>
        <w:t>–</w:t>
      </w:r>
      <w:r>
        <w:rPr>
          <w:spacing w:val="26"/>
        </w:rPr>
        <w:t> </w:t>
      </w:r>
      <w:r>
        <w:rPr/>
        <w:t>January</w:t>
      </w:r>
      <w:r>
        <w:rPr>
          <w:spacing w:val="27"/>
        </w:rPr>
        <w:t> </w:t>
      </w:r>
      <w:r>
        <w:rPr>
          <w:spacing w:val="-4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566" w:right="283"/>
          <w:cols w:num="2" w:equalWidth="0">
            <w:col w:w="2892" w:space="418"/>
            <w:col w:w="7761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8" w:after="0"/>
        <w:ind w:left="531" w:right="334" w:hanging="298"/>
        <w:jc w:val="left"/>
        <w:rPr>
          <w:sz w:val="18"/>
        </w:rPr>
      </w:pPr>
      <w:r>
        <w:rPr>
          <w:sz w:val="18"/>
        </w:rPr>
        <w:t>Tax software proﬁciency (ProSeries, TurboTax</w:t>
      </w:r>
    </w:p>
    <w:p>
      <w:pPr>
        <w:pStyle w:val="BodyText"/>
        <w:spacing w:before="42"/>
      </w:pPr>
      <w:r>
        <w:rPr>
          <w:spacing w:val="-2"/>
          <w:w w:val="105"/>
        </w:rPr>
        <w:t>Business)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1" w:after="0"/>
        <w:ind w:left="531" w:right="38" w:hanging="298"/>
        <w:jc w:val="left"/>
        <w:rPr>
          <w:sz w:val="18"/>
        </w:rPr>
      </w:pPr>
      <w:r>
        <w:rPr>
          <w:w w:val="105"/>
          <w:sz w:val="18"/>
        </w:rPr>
        <w:t>Financial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error identiﬁcation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534" w:hanging="298"/>
        <w:jc w:val="left"/>
        <w:rPr>
          <w:sz w:val="18"/>
        </w:rPr>
      </w:pPr>
      <w:r>
        <w:rPr>
          <w:w w:val="105"/>
          <w:sz w:val="18"/>
        </w:rPr>
        <w:t>Multi-jurisdiction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ﬁling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162" w:hanging="298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communication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advisory support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8" w:after="0"/>
        <w:ind w:left="531" w:right="441" w:hanging="298"/>
        <w:jc w:val="left"/>
        <w:rPr>
          <w:sz w:val="18"/>
        </w:rPr>
      </w:pPr>
      <w:r>
        <w:rPr>
          <w:spacing w:val="-2"/>
          <w:w w:val="105"/>
          <w:sz w:val="18"/>
        </w:rPr>
        <w:t>Year-end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planning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and </w:t>
      </w:r>
      <w:r>
        <w:rPr>
          <w:w w:val="105"/>
          <w:sz w:val="18"/>
        </w:rPr>
        <w:t>deduction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optimization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201" w:lineRule="auto" w:before="111" w:after="0"/>
        <w:ind w:left="735" w:right="36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Reviewed 100+ client tax forms for accuracy and completeness before filing,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catching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correcting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errors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season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prevented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costly</w:t>
      </w:r>
    </w:p>
    <w:p>
      <w:pPr>
        <w:pStyle w:val="BodyText"/>
        <w:spacing w:before="25"/>
        <w:ind w:left="735"/>
      </w:pPr>
      <w:r>
        <w:rPr>
          <w:spacing w:val="-2"/>
          <w:w w:val="105"/>
        </w:rPr>
        <w:t>amendments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189" w:lineRule="auto" w:before="102" w:after="0"/>
        <w:ind w:left="735" w:right="717" w:hanging="298"/>
        <w:jc w:val="left"/>
        <w:rPr>
          <w:sz w:val="18"/>
        </w:rPr>
      </w:pPr>
      <w:r>
        <w:rPr>
          <w:w w:val="105"/>
          <w:sz w:val="18"/>
        </w:rPr>
        <w:t>Analyzed financial records to identify additional tax-saving opportunities,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$8,000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additional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deductions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identified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201" w:lineRule="auto" w:before="98" w:after="0"/>
        <w:ind w:left="735" w:right="108" w:hanging="298"/>
        <w:jc w:val="left"/>
        <w:rPr>
          <w:sz w:val="18"/>
        </w:rPr>
      </w:pPr>
      <w:r>
        <w:rPr>
          <w:w w:val="105"/>
          <w:sz w:val="18"/>
        </w:rPr>
        <w:t>Collaborated with 3 senior accountants on complex corporate tax cases,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processing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schedules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research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memos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agreed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deadlines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189" w:lineRule="auto" w:before="109" w:after="0"/>
        <w:ind w:left="735" w:right="108" w:hanging="298"/>
        <w:jc w:val="left"/>
        <w:rPr>
          <w:sz w:val="18"/>
        </w:rPr>
      </w:pPr>
      <w:r>
        <w:rPr>
          <w:w w:val="105"/>
          <w:sz w:val="18"/>
        </w:rPr>
        <w:t>Organized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digitized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tax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records,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file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retrieval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time by 50% and improving audit readiness for the firm</w:t>
      </w:r>
    </w:p>
    <w:p>
      <w:pPr>
        <w:pStyle w:val="BodyText"/>
        <w:spacing w:before="160"/>
        <w:ind w:left="0"/>
      </w:pPr>
    </w:p>
    <w:p>
      <w:pPr>
        <w:pStyle w:val="Heading1"/>
        <w:ind w:left="233"/>
      </w:pPr>
      <w:r>
        <w:rPr>
          <w:color w:val="8B0000"/>
          <w:spacing w:val="-2"/>
        </w:rPr>
        <w:t>CERTIFICATIONS</w:t>
      </w:r>
    </w:p>
    <w:p>
      <w:pPr>
        <w:pStyle w:val="Heading1"/>
        <w:spacing w:after="0"/>
        <w:sectPr>
          <w:type w:val="continuous"/>
          <w:pgSz w:w="11920" w:h="16860"/>
          <w:pgMar w:top="420" w:bottom="280" w:left="566" w:right="283"/>
          <w:cols w:num="2" w:equalWidth="0">
            <w:col w:w="2865" w:space="446"/>
            <w:col w:w="7760"/>
          </w:cols>
        </w:sectPr>
      </w:pPr>
    </w:p>
    <w:p>
      <w:pPr>
        <w:pStyle w:val="ListParagraph"/>
        <w:numPr>
          <w:ilvl w:val="2"/>
          <w:numId w:val="1"/>
        </w:numPr>
        <w:tabs>
          <w:tab w:pos="3840" w:val="left" w:leader="none"/>
        </w:tabs>
        <w:spacing w:line="343" w:lineRule="exact" w:before="105" w:after="0"/>
        <w:ind w:left="3840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37" y="2400312"/>
                            <a:ext cx="9525" cy="830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058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37"/>
                                </a:lnTo>
                                <a:lnTo>
                                  <a:pt x="0" y="5695937"/>
                                </a:lnTo>
                                <a:lnTo>
                                  <a:pt x="0" y="8305774"/>
                                </a:lnTo>
                                <a:lnTo>
                                  <a:pt x="9525" y="8305774"/>
                                </a:lnTo>
                                <a:lnTo>
                                  <a:pt x="9525" y="5695937"/>
                                </a:lnTo>
                                <a:lnTo>
                                  <a:pt x="9525" y="2095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00300">
                                <a:moveTo>
                                  <a:pt x="7568183" y="2400299"/>
                                </a:moveTo>
                                <a:lnTo>
                                  <a:pt x="0" y="24002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0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207022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2400299"/>
                            <a:ext cx="9525" cy="697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72300">
                                <a:moveTo>
                                  <a:pt x="9524" y="6972299"/>
                                </a:moveTo>
                                <a:lnTo>
                                  <a:pt x="0" y="69722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972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686049"/>
                            <a:ext cx="1981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00050">
                                <a:moveTo>
                                  <a:pt x="0" y="400049"/>
                                </a:moveTo>
                                <a:lnTo>
                                  <a:pt x="1981199" y="400049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86049"/>
                            <a:ext cx="3048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00050">
                                <a:moveTo>
                                  <a:pt x="3047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476749"/>
                            <a:ext cx="1981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00050">
                                <a:moveTo>
                                  <a:pt x="0" y="400049"/>
                                </a:moveTo>
                                <a:lnTo>
                                  <a:pt x="1981199" y="400049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476749"/>
                            <a:ext cx="3048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00050">
                                <a:moveTo>
                                  <a:pt x="3047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7792" id="docshapegroup1" coordorigin="0,0" coordsize="11919,16860">
                <v:shape style="position:absolute;left:3809;top:3780;width:15;height:13080" id="docshape2" coordorigin="3810,3780" coordsize="15,13080" path="m3825,3780l3810,3780,3810,4110,3810,12750,3810,16860,3825,16860,3825,12750,3825,4110,3825,3780xe" filled="true" fillcolor="#c18f00" stroked="false">
                  <v:path arrowok="t"/>
                  <v:fill type="solid"/>
                </v:shape>
                <v:rect style="position:absolute;left:0;top:0;width:11919;height:3780" id="docshape3" filled="true" fillcolor="#8b0000" stroked="false">
                  <v:fill type="solid"/>
                </v:rect>
                <v:shape style="position:absolute;left:11220;top:3260;width:699;height:550" id="docshape4" coordorigin="11220,3260" coordsize="699,550" path="m11918,3810l11220,3810,11918,3260,11918,3810xe" filled="true" fillcolor="#ffffff" stroked="false">
                  <v:path arrowok="t"/>
                  <v:fill type="solid"/>
                </v:shape>
                <v:rect style="position:absolute;left:3810;top:3780;width:15;height:10980" id="docshape5" filled="true" fillcolor="#c18f00" stroked="false">
                  <v:fill type="solid"/>
                </v:rect>
                <v:rect style="position:absolute;left:480;top:4230;width:3120;height:630" id="docshape6" filled="true" fillcolor="#8b0000" stroked="false">
                  <v:fill opacity="32899f" type="solid"/>
                </v:rect>
                <v:rect style="position:absolute;left:0;top:4230;width:480;height:630" id="docshape7" filled="true" fillcolor="#fae4cc" stroked="false">
                  <v:fill type="solid"/>
                </v:rect>
                <v:rect style="position:absolute;left:480;top:7050;width:3120;height:630" id="docshape8" filled="true" fillcolor="#8b0000" stroked="false">
                  <v:fill opacity="32899f" type="solid"/>
                </v:rect>
                <v:rect style="position:absolute;left:0;top:7050;width:480;height:630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8"/>
        </w:rPr>
        <w:t>Enrolled</w:t>
      </w:r>
      <w:r>
        <w:rPr>
          <w:spacing w:val="29"/>
          <w:sz w:val="18"/>
        </w:rPr>
        <w:t> </w:t>
      </w:r>
      <w:r>
        <w:rPr>
          <w:sz w:val="18"/>
        </w:rPr>
        <w:t>Agent</w:t>
      </w:r>
      <w:r>
        <w:rPr>
          <w:spacing w:val="30"/>
          <w:sz w:val="18"/>
        </w:rPr>
        <w:t> </w:t>
      </w:r>
      <w:r>
        <w:rPr>
          <w:sz w:val="18"/>
        </w:rPr>
        <w:t>(EA)</w:t>
      </w:r>
      <w:r>
        <w:rPr>
          <w:spacing w:val="29"/>
          <w:sz w:val="18"/>
        </w:rPr>
        <w:t> </w:t>
      </w:r>
      <w:r>
        <w:rPr>
          <w:sz w:val="18"/>
        </w:rPr>
        <w:t>:</w:t>
      </w:r>
      <w:r>
        <w:rPr>
          <w:spacing w:val="30"/>
          <w:sz w:val="18"/>
        </w:rPr>
        <w:t> </w:t>
      </w:r>
      <w:r>
        <w:rPr>
          <w:sz w:val="18"/>
        </w:rPr>
        <w:t>IRS,</w:t>
      </w:r>
      <w:r>
        <w:rPr>
          <w:spacing w:val="29"/>
          <w:sz w:val="18"/>
        </w:rPr>
        <w:t> </w:t>
      </w:r>
      <w:r>
        <w:rPr>
          <w:sz w:val="18"/>
        </w:rPr>
        <w:t>January</w:t>
      </w:r>
      <w:r>
        <w:rPr>
          <w:spacing w:val="30"/>
          <w:sz w:val="18"/>
        </w:rPr>
        <w:t> </w:t>
      </w:r>
      <w:r>
        <w:rPr>
          <w:spacing w:val="-4"/>
          <w:sz w:val="18"/>
        </w:rPr>
        <w:t>2017</w:t>
      </w:r>
    </w:p>
    <w:p>
      <w:pPr>
        <w:pStyle w:val="ListParagraph"/>
        <w:numPr>
          <w:ilvl w:val="2"/>
          <w:numId w:val="1"/>
        </w:numPr>
        <w:tabs>
          <w:tab w:pos="3840" w:val="left" w:leader="none"/>
        </w:tabs>
        <w:spacing w:line="343" w:lineRule="exact" w:before="0" w:after="0"/>
        <w:ind w:left="3840" w:right="0" w:hanging="296"/>
        <w:jc w:val="left"/>
        <w:rPr>
          <w:sz w:val="18"/>
        </w:rPr>
      </w:pPr>
      <w:r>
        <w:rPr>
          <w:sz w:val="18"/>
        </w:rPr>
        <w:t>Annual</w:t>
      </w:r>
      <w:r>
        <w:rPr>
          <w:spacing w:val="23"/>
          <w:sz w:val="18"/>
        </w:rPr>
        <w:t> </w:t>
      </w:r>
      <w:r>
        <w:rPr>
          <w:sz w:val="18"/>
        </w:rPr>
        <w:t>Filing</w:t>
      </w:r>
      <w:r>
        <w:rPr>
          <w:spacing w:val="24"/>
          <w:sz w:val="18"/>
        </w:rPr>
        <w:t> </w:t>
      </w:r>
      <w:r>
        <w:rPr>
          <w:sz w:val="18"/>
        </w:rPr>
        <w:t>Season</w:t>
      </w:r>
      <w:r>
        <w:rPr>
          <w:spacing w:val="24"/>
          <w:sz w:val="18"/>
        </w:rPr>
        <w:t> </w:t>
      </w:r>
      <w:r>
        <w:rPr>
          <w:sz w:val="18"/>
        </w:rPr>
        <w:t>Program</w:t>
      </w:r>
      <w:r>
        <w:rPr>
          <w:spacing w:val="23"/>
          <w:sz w:val="18"/>
        </w:rPr>
        <w:t> </w:t>
      </w:r>
      <w:r>
        <w:rPr>
          <w:sz w:val="18"/>
        </w:rPr>
        <w:t>(AFSP)</w:t>
      </w:r>
      <w:r>
        <w:rPr>
          <w:spacing w:val="24"/>
          <w:sz w:val="18"/>
        </w:rPr>
        <w:t> </w:t>
      </w:r>
      <w:r>
        <w:rPr>
          <w:sz w:val="18"/>
        </w:rPr>
        <w:t>:</w:t>
      </w:r>
      <w:r>
        <w:rPr>
          <w:spacing w:val="24"/>
          <w:sz w:val="18"/>
        </w:rPr>
        <w:t> </w:t>
      </w:r>
      <w:r>
        <w:rPr>
          <w:sz w:val="18"/>
        </w:rPr>
        <w:t>IRS</w:t>
      </w:r>
      <w:r>
        <w:rPr>
          <w:spacing w:val="23"/>
          <w:sz w:val="18"/>
        </w:rPr>
        <w:t> </w:t>
      </w:r>
      <w:r>
        <w:rPr>
          <w:sz w:val="18"/>
        </w:rPr>
        <w:t>|</w:t>
      </w:r>
      <w:r>
        <w:rPr>
          <w:spacing w:val="24"/>
          <w:sz w:val="18"/>
        </w:rPr>
        <w:t> </w:t>
      </w:r>
      <w:r>
        <w:rPr>
          <w:sz w:val="18"/>
        </w:rPr>
        <w:t>2022,</w:t>
      </w:r>
      <w:r>
        <w:rPr>
          <w:spacing w:val="24"/>
          <w:sz w:val="18"/>
        </w:rPr>
        <w:t> </w:t>
      </w:r>
      <w:r>
        <w:rPr>
          <w:spacing w:val="-4"/>
          <w:sz w:val="18"/>
        </w:rPr>
        <w:t>2023</w:t>
      </w:r>
    </w:p>
    <w:sectPr>
      <w:type w:val="continuous"/>
      <w:pgSz w:w="11920" w:h="16860"/>
      <w:pgMar w:top="42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0"/>
      <w:ind w:left="12" w:right="13"/>
      <w:jc w:val="center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531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2026-03-21T03:34:43Z</dcterms:created>
  <dcterms:modified xsi:type="dcterms:W3CDTF">2026-03-21T03:34:43Z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