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8"/>
        <w:rPr>
          <w:rFonts w:ascii="Times New Roman"/>
          <w:sz w:val="67"/>
        </w:rPr>
      </w:pPr>
    </w:p>
    <w:p>
      <w:pPr>
        <w:pStyle w:val="Heading1"/>
      </w:pPr>
      <w:r>
        <w:rPr>
          <w:color w:val="49443D"/>
        </w:rPr>
        <w:t>Morgan</w:t>
      </w:r>
      <w:r>
        <w:rPr>
          <w:color w:val="49443D"/>
          <w:spacing w:val="-31"/>
        </w:rPr>
        <w:t> </w:t>
      </w:r>
      <w:r>
        <w:rPr>
          <w:color w:val="49443D"/>
          <w:spacing w:val="-2"/>
        </w:rPr>
        <w:t>Johnson</w:t>
      </w:r>
    </w:p>
    <w:p>
      <w:pPr>
        <w:pStyle w:val="BodyText"/>
        <w:spacing w:before="52"/>
        <w:rPr>
          <w:b/>
          <w:sz w:val="18"/>
        </w:rPr>
      </w:pPr>
    </w:p>
    <w:p>
      <w:pPr>
        <w:spacing w:line="261" w:lineRule="auto" w:before="0"/>
        <w:ind w:left="7214" w:right="867" w:hanging="2521"/>
        <w:jc w:val="left"/>
        <w:rPr>
          <w:sz w:val="18"/>
        </w:rPr>
      </w:pPr>
      <w:r>
        <w:rPr>
          <w:color w:val="49443D"/>
          <w:w w:val="105"/>
          <w:sz w:val="18"/>
        </w:rPr>
        <w:t>Geriatric</w:t>
      </w:r>
      <w:r>
        <w:rPr>
          <w:color w:val="49443D"/>
          <w:spacing w:val="-14"/>
          <w:w w:val="105"/>
          <w:sz w:val="18"/>
        </w:rPr>
        <w:t> </w:t>
      </w:r>
      <w:r>
        <w:rPr>
          <w:color w:val="49443D"/>
          <w:w w:val="105"/>
          <w:sz w:val="18"/>
        </w:rPr>
        <w:t>CNA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with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9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Years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in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Memory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Care,</w:t>
      </w:r>
      <w:r>
        <w:rPr>
          <w:color w:val="49443D"/>
          <w:spacing w:val="-14"/>
          <w:w w:val="105"/>
          <w:sz w:val="18"/>
        </w:rPr>
        <w:t> </w:t>
      </w:r>
      <w:r>
        <w:rPr>
          <w:color w:val="49443D"/>
          <w:w w:val="105"/>
          <w:sz w:val="18"/>
        </w:rPr>
        <w:t>Dementia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Support,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and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Fall </w:t>
      </w:r>
      <w:r>
        <w:rPr>
          <w:color w:val="49443D"/>
          <w:spacing w:val="-2"/>
          <w:w w:val="105"/>
          <w:sz w:val="18"/>
        </w:rPr>
        <w:t>Prevention</w:t>
      </w:r>
    </w:p>
    <w:p>
      <w:pPr>
        <w:pStyle w:val="BodyText"/>
        <w:spacing w:before="5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5440" id="docshape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24955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2495550"/>
                          <a:chExt cx="2571750" cy="24955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196.5pt;mso-position-horizontal-relative:page;mso-position-vertical-relative:page;z-index:15731200" id="docshapegroup2" coordorigin="0,0" coordsize="4050,3930"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9443d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5"/>
        <w:rPr>
          <w:sz w:val="18"/>
        </w:rPr>
      </w:pPr>
    </w:p>
    <w:p>
      <w:pPr>
        <w:pStyle w:val="Heading3"/>
        <w:spacing w:before="0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Springﬁeld,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IL</w:t>
      </w:r>
      <w:r>
        <w:rPr>
          <w:color w:val="FFFFFF"/>
          <w:spacing w:val="3"/>
          <w:sz w:val="18"/>
        </w:rPr>
        <w:t> </w:t>
      </w:r>
      <w:r>
        <w:rPr>
          <w:color w:val="FFFFFF"/>
          <w:spacing w:val="-2"/>
          <w:sz w:val="18"/>
        </w:rPr>
        <w:t>62704</w:t>
      </w:r>
    </w:p>
    <w:p>
      <w:pPr>
        <w:pStyle w:val="BodyText"/>
        <w:spacing w:before="7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438149</wp:posOffset>
                </wp:positionH>
                <wp:positionV relativeFrom="paragraph">
                  <wp:posOffset>100008</wp:posOffset>
                </wp:positionV>
                <wp:extent cx="10763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74717pt;width:84.749993pt;height:.75pt;mso-position-horizontal-relative:page;mso-position-vertical-relative:paragraph;z-index:-15728640;mso-wrap-distance-left:0;mso-wrap-distance-right:0" id="docshape7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6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438149</wp:posOffset>
                </wp:positionH>
                <wp:positionV relativeFrom="paragraph">
                  <wp:posOffset>99717</wp:posOffset>
                </wp:positionV>
                <wp:extent cx="10763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1754pt;width:84.749993pt;height:.75pt;mso-position-horizontal-relative:page;mso-position-vertical-relative:paragraph;z-index:-15728128;mso-wrap-distance-left:0;mso-wrap-distance-right:0" id="docshape8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6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438149</wp:posOffset>
                </wp:positionH>
                <wp:positionV relativeFrom="paragraph">
                  <wp:posOffset>99717</wp:posOffset>
                </wp:positionV>
                <wp:extent cx="10763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1754pt;width:84.749993pt;height:.75pt;mso-position-horizontal-relative:page;mso-position-vertical-relative:paragraph;z-index:-15727616;mso-wrap-distance-left:0;mso-wrap-distance-right:0" id="docshape9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191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74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2"/>
        </w:rPr>
        <w:t>Education</w:t>
      </w:r>
    </w:p>
    <w:p>
      <w:pPr>
        <w:spacing w:line="261" w:lineRule="auto" w:before="185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Springﬁeld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Community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 </w:t>
      </w:r>
      <w:r>
        <w:rPr>
          <w:color w:val="FFFFFF"/>
          <w:w w:val="105"/>
          <w:sz w:val="18"/>
        </w:rPr>
        <w:t>Springﬁeld, IL</w:t>
      </w:r>
    </w:p>
    <w:p>
      <w:pPr>
        <w:pStyle w:val="BodyText"/>
        <w:spacing w:before="47"/>
        <w:rPr>
          <w:sz w:val="18"/>
        </w:rPr>
      </w:pPr>
    </w:p>
    <w:p>
      <w:pPr>
        <w:spacing w:line="261" w:lineRule="auto" w:before="0"/>
        <w:ind w:left="404" w:right="385" w:firstLine="0"/>
        <w:jc w:val="left"/>
        <w:rPr>
          <w:sz w:val="18"/>
        </w:rPr>
      </w:pPr>
      <w:r>
        <w:rPr>
          <w:color w:val="FFFFFF"/>
          <w:w w:val="105"/>
          <w:sz w:val="18"/>
        </w:rPr>
        <w:t>Associate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(A.S.)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Geriatric Health Support</w:t>
      </w:r>
    </w:p>
    <w:p>
      <w:pPr>
        <w:pStyle w:val="BodyText"/>
        <w:spacing w:before="35"/>
        <w:rPr>
          <w:sz w:val="18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2"/>
        </w:rPr>
        <w:t> Skills</w:t>
      </w:r>
    </w:p>
    <w:p>
      <w:pPr>
        <w:tabs>
          <w:tab w:pos="702" w:val="left" w:leader="none"/>
        </w:tabs>
        <w:spacing w:line="261" w:lineRule="auto" w:before="186"/>
        <w:ind w:left="702" w:right="388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z w:val="18"/>
        </w:rPr>
        <w:t>Dementia and Alzheimer's </w:t>
      </w:r>
      <w:r>
        <w:rPr>
          <w:color w:val="FFFFFF"/>
          <w:w w:val="105"/>
          <w:sz w:val="18"/>
        </w:rPr>
        <w:t>behavioral care</w:t>
      </w:r>
    </w:p>
    <w:p>
      <w:pPr>
        <w:tabs>
          <w:tab w:pos="702" w:val="left" w:leader="none"/>
        </w:tabs>
        <w:spacing w:before="103"/>
        <w:ind w:left="406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z w:val="18"/>
        </w:rPr>
        <w:t>Memory</w:t>
      </w:r>
      <w:r>
        <w:rPr>
          <w:color w:val="FFFFFF"/>
          <w:spacing w:val="10"/>
          <w:sz w:val="18"/>
        </w:rPr>
        <w:t> </w:t>
      </w:r>
      <w:r>
        <w:rPr>
          <w:color w:val="FFFFFF"/>
          <w:sz w:val="18"/>
        </w:rPr>
        <w:t>care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unit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ADL</w:t>
      </w:r>
      <w:r>
        <w:rPr>
          <w:color w:val="FFFFFF"/>
          <w:spacing w:val="3"/>
          <w:sz w:val="18"/>
        </w:rPr>
        <w:t> </w:t>
      </w:r>
      <w:r>
        <w:rPr>
          <w:color w:val="FFFFFF"/>
          <w:spacing w:val="-2"/>
          <w:sz w:val="18"/>
        </w:rPr>
        <w:t>support</w:t>
      </w:r>
    </w:p>
    <w:p>
      <w:pPr>
        <w:tabs>
          <w:tab w:pos="702" w:val="left" w:leader="none"/>
        </w:tabs>
        <w:spacing w:line="278" w:lineRule="auto" w:before="123"/>
        <w:ind w:left="702" w:right="155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  <w:sz w:val="18"/>
        </w:rPr>
        <w:t>Individualized cognitive </w:t>
      </w:r>
      <w:r>
        <w:rPr>
          <w:color w:val="FFFFFF"/>
          <w:spacing w:val="-2"/>
          <w:w w:val="105"/>
          <w:sz w:val="18"/>
        </w:rPr>
        <w:t>stimulation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activity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facilitation</w:t>
      </w:r>
    </w:p>
    <w:p>
      <w:pPr>
        <w:tabs>
          <w:tab w:pos="702" w:val="left" w:leader="none"/>
        </w:tabs>
        <w:spacing w:line="278" w:lineRule="auto" w:before="75"/>
        <w:ind w:left="702" w:right="196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  <w:sz w:val="18"/>
        </w:rPr>
        <w:t>Fall prevention plan </w:t>
      </w:r>
      <w:r>
        <w:rPr>
          <w:color w:val="FFFFFF"/>
          <w:spacing w:val="-2"/>
          <w:w w:val="105"/>
          <w:sz w:val="18"/>
        </w:rPr>
        <w:t>development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monitoring</w:t>
      </w:r>
    </w:p>
    <w:p>
      <w:pPr>
        <w:tabs>
          <w:tab w:pos="702" w:val="left" w:leader="none"/>
        </w:tabs>
        <w:spacing w:line="261" w:lineRule="auto" w:before="90"/>
        <w:ind w:left="702" w:right="114" w:hanging="296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Geriatric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mobility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transfer assistance</w:t>
      </w:r>
    </w:p>
    <w:p>
      <w:pPr>
        <w:tabs>
          <w:tab w:pos="702" w:val="left" w:leader="none"/>
        </w:tabs>
        <w:spacing w:line="261" w:lineRule="auto" w:before="104"/>
        <w:ind w:left="702" w:right="216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  <w:sz w:val="18"/>
        </w:rPr>
        <w:t>Family communication </w:t>
      </w:r>
      <w:r>
        <w:rPr>
          <w:color w:val="FFFFFF"/>
          <w:spacing w:val="-2"/>
          <w:w w:val="105"/>
          <w:sz w:val="18"/>
        </w:rPr>
        <w:t>regarding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cognitive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changes</w:t>
      </w:r>
    </w:p>
    <w:p>
      <w:pPr>
        <w:tabs>
          <w:tab w:pos="702" w:val="left" w:leader="none"/>
        </w:tabs>
        <w:spacing w:line="278" w:lineRule="auto" w:before="104"/>
        <w:ind w:left="702" w:right="102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Care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behavioral charting</w:t>
      </w:r>
    </w:p>
    <w:p>
      <w:pPr>
        <w:tabs>
          <w:tab w:pos="702" w:val="left" w:leader="none"/>
        </w:tabs>
        <w:spacing w:line="261" w:lineRule="auto" w:before="89"/>
        <w:ind w:left="702" w:right="82" w:hanging="296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Sundowning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agitation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de-</w:t>
      </w:r>
      <w:r>
        <w:rPr>
          <w:color w:val="FFFFFF"/>
          <w:w w:val="105"/>
          <w:sz w:val="18"/>
        </w:rPr>
        <w:t>escalation techniques</w:t>
      </w:r>
    </w:p>
    <w:p>
      <w:pPr>
        <w:tabs>
          <w:tab w:pos="702" w:val="left" w:leader="none"/>
        </w:tabs>
        <w:spacing w:line="261" w:lineRule="auto" w:before="104"/>
        <w:ind w:left="702" w:right="103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  <w:sz w:val="18"/>
        </w:rPr>
        <w:t>Nutrition and hydration </w:t>
      </w:r>
      <w:r>
        <w:rPr>
          <w:color w:val="FFFFFF"/>
          <w:spacing w:val="-2"/>
          <w:w w:val="105"/>
          <w:sz w:val="18"/>
        </w:rPr>
        <w:t>monitoring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elderly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patients</w:t>
      </w:r>
    </w:p>
    <w:p>
      <w:pPr>
        <w:spacing w:line="273" w:lineRule="auto" w:before="74"/>
        <w:ind w:left="223" w:right="452" w:hanging="1"/>
        <w:jc w:val="center"/>
        <w:rPr>
          <w:sz w:val="18"/>
        </w:rPr>
      </w:pPr>
      <w:r>
        <w:rPr/>
        <w:br w:type="column"/>
      </w:r>
      <w:r>
        <w:rPr>
          <w:color w:val="49443D"/>
          <w:w w:val="105"/>
          <w:sz w:val="18"/>
        </w:rPr>
        <w:t>Geriatric-focused</w:t>
      </w:r>
      <w:r>
        <w:rPr>
          <w:color w:val="49443D"/>
          <w:spacing w:val="-14"/>
          <w:w w:val="105"/>
          <w:sz w:val="18"/>
        </w:rPr>
        <w:t> </w:t>
      </w:r>
      <w:r>
        <w:rPr>
          <w:color w:val="49443D"/>
          <w:w w:val="105"/>
          <w:sz w:val="18"/>
        </w:rPr>
        <w:t>CNA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with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nine</w:t>
      </w:r>
      <w:r>
        <w:rPr>
          <w:color w:val="49443D"/>
          <w:spacing w:val="-13"/>
          <w:w w:val="105"/>
          <w:sz w:val="18"/>
        </w:rPr>
        <w:t> </w:t>
      </w:r>
      <w:r>
        <w:rPr>
          <w:color w:val="49443D"/>
          <w:w w:val="105"/>
          <w:sz w:val="18"/>
        </w:rPr>
        <w:t>years</w:t>
      </w:r>
      <w:r>
        <w:rPr>
          <w:color w:val="49443D"/>
          <w:spacing w:val="-12"/>
          <w:w w:val="105"/>
          <w:sz w:val="18"/>
        </w:rPr>
        <w:t> </w:t>
      </w:r>
      <w:r>
        <w:rPr>
          <w:color w:val="49443D"/>
          <w:w w:val="105"/>
          <w:sz w:val="18"/>
        </w:rPr>
        <w:t>of</w:t>
      </w:r>
      <w:r>
        <w:rPr>
          <w:color w:val="49443D"/>
          <w:spacing w:val="-12"/>
          <w:w w:val="105"/>
          <w:sz w:val="18"/>
        </w:rPr>
        <w:t> </w:t>
      </w:r>
      <w:r>
        <w:rPr>
          <w:color w:val="49443D"/>
          <w:w w:val="105"/>
          <w:sz w:val="18"/>
        </w:rPr>
        <w:t>experience</w:t>
      </w:r>
      <w:r>
        <w:rPr>
          <w:color w:val="49443D"/>
          <w:spacing w:val="-12"/>
          <w:w w:val="105"/>
          <w:sz w:val="18"/>
        </w:rPr>
        <w:t> </w:t>
      </w:r>
      <w:r>
        <w:rPr>
          <w:color w:val="49443D"/>
          <w:w w:val="105"/>
          <w:sz w:val="18"/>
        </w:rPr>
        <w:t>supporting</w:t>
      </w:r>
      <w:r>
        <w:rPr>
          <w:color w:val="49443D"/>
          <w:spacing w:val="-12"/>
          <w:w w:val="105"/>
          <w:sz w:val="18"/>
        </w:rPr>
        <w:t> </w:t>
      </w:r>
      <w:r>
        <w:rPr>
          <w:color w:val="49443D"/>
          <w:w w:val="105"/>
          <w:sz w:val="18"/>
        </w:rPr>
        <w:t>elderly</w:t>
      </w:r>
      <w:r>
        <w:rPr>
          <w:color w:val="49443D"/>
          <w:spacing w:val="-12"/>
          <w:w w:val="105"/>
          <w:sz w:val="18"/>
        </w:rPr>
        <w:t> </w:t>
      </w:r>
      <w:r>
        <w:rPr>
          <w:color w:val="49443D"/>
          <w:w w:val="105"/>
          <w:sz w:val="18"/>
        </w:rPr>
        <w:t>patients</w:t>
      </w:r>
      <w:r>
        <w:rPr>
          <w:color w:val="49443D"/>
          <w:spacing w:val="-12"/>
          <w:w w:val="105"/>
          <w:sz w:val="18"/>
        </w:rPr>
        <w:t> </w:t>
      </w:r>
      <w:r>
        <w:rPr>
          <w:color w:val="49443D"/>
          <w:w w:val="105"/>
          <w:sz w:val="18"/>
        </w:rPr>
        <w:t>in memory care units and home health environments. Expert in dementia and </w:t>
      </w:r>
      <w:r>
        <w:rPr>
          <w:color w:val="49443D"/>
          <w:spacing w:val="-2"/>
          <w:w w:val="105"/>
          <w:sz w:val="18"/>
        </w:rPr>
        <w:t>Alzheimer's behavioral management, individualized cognitive stimulation activities, </w:t>
      </w:r>
      <w:r>
        <w:rPr>
          <w:color w:val="49443D"/>
          <w:w w:val="105"/>
          <w:sz w:val="18"/>
        </w:rPr>
        <w:t>fall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prevention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plan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development,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and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family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communication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regarding</w:t>
      </w:r>
      <w:r>
        <w:rPr>
          <w:color w:val="49443D"/>
          <w:spacing w:val="-1"/>
          <w:w w:val="105"/>
          <w:sz w:val="18"/>
        </w:rPr>
        <w:t> </w:t>
      </w:r>
      <w:r>
        <w:rPr>
          <w:color w:val="49443D"/>
          <w:w w:val="105"/>
          <w:sz w:val="18"/>
        </w:rPr>
        <w:t>care changes. Known for reducing fall incidents by 30% through individualized prevention</w:t>
      </w:r>
      <w:r>
        <w:rPr>
          <w:color w:val="49443D"/>
          <w:spacing w:val="-2"/>
          <w:w w:val="105"/>
          <w:sz w:val="18"/>
        </w:rPr>
        <w:t> </w:t>
      </w:r>
      <w:r>
        <w:rPr>
          <w:color w:val="49443D"/>
          <w:w w:val="105"/>
          <w:sz w:val="18"/>
        </w:rPr>
        <w:t>planning</w:t>
      </w:r>
      <w:r>
        <w:rPr>
          <w:color w:val="49443D"/>
          <w:spacing w:val="-2"/>
          <w:w w:val="105"/>
          <w:sz w:val="18"/>
        </w:rPr>
        <w:t> </w:t>
      </w:r>
      <w:r>
        <w:rPr>
          <w:color w:val="49443D"/>
          <w:w w:val="105"/>
          <w:sz w:val="18"/>
        </w:rPr>
        <w:t>and</w:t>
      </w:r>
      <w:r>
        <w:rPr>
          <w:color w:val="49443D"/>
          <w:spacing w:val="-2"/>
          <w:w w:val="105"/>
          <w:sz w:val="18"/>
        </w:rPr>
        <w:t> </w:t>
      </w:r>
      <w:r>
        <w:rPr>
          <w:color w:val="49443D"/>
          <w:w w:val="105"/>
          <w:sz w:val="18"/>
        </w:rPr>
        <w:t>maintaining</w:t>
      </w:r>
      <w:r>
        <w:rPr>
          <w:color w:val="49443D"/>
          <w:spacing w:val="-2"/>
          <w:w w:val="105"/>
          <w:sz w:val="18"/>
        </w:rPr>
        <w:t> </w:t>
      </w:r>
      <w:r>
        <w:rPr>
          <w:color w:val="49443D"/>
          <w:w w:val="105"/>
          <w:sz w:val="18"/>
        </w:rPr>
        <w:t>exceptional</w:t>
      </w:r>
      <w:r>
        <w:rPr>
          <w:color w:val="49443D"/>
          <w:spacing w:val="-2"/>
          <w:w w:val="105"/>
          <w:sz w:val="18"/>
        </w:rPr>
        <w:t> </w:t>
      </w:r>
      <w:r>
        <w:rPr>
          <w:color w:val="49443D"/>
          <w:w w:val="105"/>
          <w:sz w:val="18"/>
        </w:rPr>
        <w:t>resident</w:t>
      </w:r>
      <w:r>
        <w:rPr>
          <w:color w:val="49443D"/>
          <w:spacing w:val="-2"/>
          <w:w w:val="105"/>
          <w:sz w:val="18"/>
        </w:rPr>
        <w:t> </w:t>
      </w:r>
      <w:r>
        <w:rPr>
          <w:color w:val="49443D"/>
          <w:w w:val="105"/>
          <w:sz w:val="18"/>
        </w:rPr>
        <w:t>relationships</w:t>
      </w:r>
      <w:r>
        <w:rPr>
          <w:color w:val="49443D"/>
          <w:spacing w:val="-2"/>
          <w:w w:val="105"/>
          <w:sz w:val="18"/>
        </w:rPr>
        <w:t> </w:t>
      </w:r>
      <w:r>
        <w:rPr>
          <w:color w:val="49443D"/>
          <w:w w:val="105"/>
          <w:sz w:val="18"/>
        </w:rPr>
        <w:t>across long-tenure assignments.</w:t>
      </w:r>
    </w:p>
    <w:p>
      <w:pPr>
        <w:pStyle w:val="BodyText"/>
        <w:spacing w:before="10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2819399</wp:posOffset>
                </wp:positionH>
                <wp:positionV relativeFrom="paragraph">
                  <wp:posOffset>230261</wp:posOffset>
                </wp:positionV>
                <wp:extent cx="4619625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130821pt;width:363.749971pt;height:.75pt;mso-position-horizontal-relative:page;mso-position-vertical-relative:paragraph;z-index:-15727104;mso-wrap-distance-left:0;mso-wrap-distance-right:0" id="docshape10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92"/>
        <w:rPr>
          <w:sz w:val="18"/>
        </w:rPr>
      </w:pPr>
    </w:p>
    <w:p>
      <w:pPr>
        <w:pStyle w:val="Heading2"/>
        <w:spacing w:before="1"/>
      </w:pPr>
      <w:r>
        <w:rPr>
          <w:color w:val="49443D"/>
        </w:rPr>
        <w:t>Professional</w:t>
      </w:r>
      <w:r>
        <w:rPr>
          <w:color w:val="49443D"/>
          <w:spacing w:val="-11"/>
        </w:rPr>
        <w:t> </w:t>
      </w:r>
      <w:r>
        <w:rPr>
          <w:color w:val="49443D"/>
          <w:spacing w:val="-2"/>
        </w:rPr>
        <w:t>Experience</w:t>
      </w:r>
    </w:p>
    <w:p>
      <w:pPr>
        <w:pStyle w:val="BodyText"/>
        <w:spacing w:before="189"/>
        <w:ind w:left="311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Nursing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Memory</w:t>
      </w:r>
      <w:r>
        <w:rPr>
          <w:spacing w:val="-10"/>
          <w:w w:val="105"/>
        </w:rPr>
        <w:t> </w:t>
      </w:r>
      <w:r>
        <w:rPr>
          <w:w w:val="105"/>
        </w:rPr>
        <w:t>Care</w:t>
      </w:r>
      <w:r>
        <w:rPr>
          <w:spacing w:val="-9"/>
          <w:w w:val="105"/>
        </w:rPr>
        <w:t> </w:t>
      </w:r>
      <w:r>
        <w:rPr>
          <w:w w:val="105"/>
        </w:rPr>
        <w:t>Unit,</w:t>
      </w:r>
      <w:r>
        <w:rPr>
          <w:spacing w:val="-10"/>
          <w:w w:val="105"/>
        </w:rPr>
        <w:t> </w:t>
      </w:r>
      <w:r>
        <w:rPr>
          <w:w w:val="105"/>
        </w:rPr>
        <w:t>Willow</w:t>
      </w:r>
      <w:r>
        <w:rPr>
          <w:spacing w:val="-9"/>
          <w:w w:val="105"/>
        </w:rPr>
        <w:t> </w:t>
      </w:r>
      <w:r>
        <w:rPr>
          <w:w w:val="105"/>
        </w:rPr>
        <w:t>Creek</w:t>
      </w:r>
      <w:r>
        <w:rPr>
          <w:spacing w:val="-10"/>
          <w:w w:val="105"/>
        </w:rPr>
        <w:t> </w:t>
      </w:r>
      <w:r>
        <w:rPr>
          <w:w w:val="105"/>
        </w:rPr>
        <w:t>Senior</w:t>
      </w:r>
      <w:r>
        <w:rPr>
          <w:spacing w:val="-9"/>
          <w:w w:val="105"/>
        </w:rPr>
        <w:t> </w:t>
      </w:r>
      <w:r>
        <w:rPr>
          <w:w w:val="105"/>
        </w:rPr>
        <w:t>Living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Springﬁeld,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56"/>
        <w:ind w:left="311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2019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233" w:hanging="291"/>
        <w:jc w:val="left"/>
        <w:rPr>
          <w:sz w:val="16"/>
        </w:rPr>
      </w:pPr>
      <w:r>
        <w:rPr>
          <w:w w:val="105"/>
          <w:sz w:val="16"/>
        </w:rPr>
        <w:t>Support 15+ dementia and Alzheimer's residents daily with hygiene, mobility, and emotional reassurance, using person-centered communication techniques to reduce agitation during care activities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377" w:hanging="291"/>
        <w:jc w:val="left"/>
        <w:rPr>
          <w:sz w:val="16"/>
        </w:rPr>
      </w:pPr>
      <w:r>
        <w:rPr>
          <w:w w:val="105"/>
          <w:sz w:val="16"/>
        </w:rPr>
        <w:t>Create and facilitate individualized memory care activities for 8 residents weekly, collaborating with the activities director to improve resident engagement scores on quarterly assessments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356" w:hanging="291"/>
        <w:jc w:val="left"/>
        <w:rPr>
          <w:sz w:val="16"/>
        </w:rPr>
      </w:pPr>
      <w:r>
        <w:rPr>
          <w:w w:val="105"/>
          <w:sz w:val="16"/>
        </w:rPr>
        <w:t>Collaborate with RNs and family members to monitor behavioral changes including new aggression, sundowning patterns, and social withdrawal, contributing care observations to monthly care plan reviews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343" w:hanging="291"/>
        <w:jc w:val="left"/>
        <w:rPr>
          <w:sz w:val="16"/>
        </w:rPr>
      </w:pPr>
      <w:r>
        <w:rPr>
          <w:w w:val="105"/>
          <w:sz w:val="16"/>
        </w:rPr>
        <w:t>Implement and monitor individualized fall prevention plans for 6 high-risk residents, including non-slip footwear, bed alarm protocols, and environmental hazard </w:t>
      </w:r>
      <w:r>
        <w:rPr>
          <w:spacing w:val="-2"/>
          <w:w w:val="105"/>
          <w:sz w:val="16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98" w:hanging="291"/>
        <w:jc w:val="both"/>
        <w:rPr>
          <w:sz w:val="16"/>
        </w:rPr>
      </w:pPr>
      <w:r>
        <w:rPr>
          <w:w w:val="105"/>
          <w:sz w:val="16"/>
        </w:rPr>
        <w:t>Communicate cognitive and behavioral changes to families during monthly family care conferences, providing direct-care observations in accessible language that supports family decision-making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63" w:hanging="291"/>
        <w:jc w:val="left"/>
        <w:rPr>
          <w:sz w:val="16"/>
        </w:rPr>
      </w:pPr>
      <w:r>
        <w:rPr>
          <w:w w:val="105"/>
          <w:sz w:val="16"/>
        </w:rPr>
        <w:t>Contribute to a unit-level dementia care quality improvement initiative, piloting a structured sensory activity program that reduced documented agitation events by 20% over 6 months</w:t>
      </w:r>
    </w:p>
    <w:p>
      <w:pPr>
        <w:pStyle w:val="BodyText"/>
        <w:spacing w:before="101"/>
      </w:pPr>
    </w:p>
    <w:p>
      <w:pPr>
        <w:pStyle w:val="BodyText"/>
        <w:ind w:left="311"/>
      </w:pPr>
      <w:r>
        <w:rPr>
          <w:spacing w:val="-2"/>
          <w:w w:val="105"/>
        </w:rPr>
        <w:t>Certiﬁed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Home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Services,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Compassionate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Springﬁeld,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1"/>
      </w:pPr>
      <w:r>
        <w:rPr>
          <w:w w:val="105"/>
        </w:rPr>
        <w:t>April</w:t>
      </w:r>
      <w:r>
        <w:rPr>
          <w:spacing w:val="-2"/>
          <w:w w:val="105"/>
        </w:rPr>
        <w:t> </w:t>
      </w:r>
      <w:r>
        <w:rPr>
          <w:w w:val="105"/>
        </w:rPr>
        <w:t>2016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April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84" w:hanging="291"/>
        <w:jc w:val="left"/>
        <w:rPr>
          <w:sz w:val="16"/>
        </w:rPr>
      </w:pPr>
      <w:r>
        <w:rPr>
          <w:w w:val="105"/>
          <w:sz w:val="16"/>
        </w:rPr>
        <w:t>Provided in-home care for 4 elderly clients including personal hygiene, meal preparation, medication reminders, and companionship, serving clients with dementia, Parkinson's, and diabetes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60" w:hanging="291"/>
        <w:jc w:val="left"/>
        <w:rPr>
          <w:sz w:val="16"/>
        </w:rPr>
      </w:pPr>
      <w:r>
        <w:rPr>
          <w:w w:val="105"/>
          <w:sz w:val="16"/>
        </w:rPr>
        <w:t>Developed individualized fall prevention plans for 3 high-risk home health clients, incorporating home safety modiﬁcations and mobility aid coaching that contributed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 30% reduction in fall incidents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302" w:hanging="291"/>
        <w:jc w:val="left"/>
        <w:rPr>
          <w:sz w:val="16"/>
        </w:rPr>
      </w:pPr>
      <w:r>
        <w:rPr>
          <w:w w:val="105"/>
          <w:sz w:val="16"/>
        </w:rPr>
        <w:t>Monitored and reported health status changes to supervising RNs, identifying early signs of UTI, skin breakdown, and dehydration in 2 clients that led to timely medical </w:t>
      </w:r>
      <w:r>
        <w:rPr>
          <w:spacing w:val="-2"/>
          <w:w w:val="105"/>
          <w:sz w:val="16"/>
        </w:rPr>
        <w:t>interventions</w:t>
      </w:r>
    </w:p>
    <w:p>
      <w:pPr>
        <w:pStyle w:val="BodyText"/>
        <w:spacing w:before="177"/>
      </w:pPr>
    </w:p>
    <w:p>
      <w:pPr>
        <w:pStyle w:val="Heading2"/>
      </w:pPr>
      <w:r>
        <w:rPr>
          <w:color w:val="49443D"/>
          <w:spacing w:val="-2"/>
        </w:rPr>
        <w:t>Certiﬁcations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89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Certiﬁed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(CNA)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Illinois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6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Basic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(BLS)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3" w:right="141"/>
          <w:cols w:num="2" w:equalWidth="0">
            <w:col w:w="3246" w:space="808"/>
            <w:col w:w="7442"/>
          </w:cols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4416" id="docshape11" filled="true" fillcolor="#49443d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  <w:rPr>
          <w:sz w:val="18"/>
        </w:rPr>
      </w:pPr>
    </w:p>
    <w:p>
      <w:pPr>
        <w:tabs>
          <w:tab w:pos="702" w:val="left" w:leader="none"/>
        </w:tabs>
        <w:spacing w:line="278" w:lineRule="auto" w:before="0"/>
        <w:ind w:left="702" w:right="8537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Collaboration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with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RNs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family on care transitions</w: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63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6"/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2026-03-25T15:52:11Z</dcterms:created>
  <dcterms:modified xsi:type="dcterms:W3CDTF">2026-03-25T15:52:11Z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