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43"/>
        <w:rPr>
          <w:rFonts w:ascii="Times New Roman"/>
          <w:sz w:val="16"/>
        </w:rPr>
      </w:pPr>
    </w:p>
    <w:p>
      <w:pPr>
        <w:pStyle w:val="Heading1"/>
      </w:pPr>
      <w:r>
        <w:rPr>
          <w:smallCaps/>
          <w:color w:val="E3A729"/>
          <w:spacing w:val="-2"/>
          <w:w w:val="105"/>
        </w:rPr>
        <w:t>Contact</w:t>
      </w:r>
      <w:r>
        <w:rPr>
          <w:smallCaps/>
          <w:color w:val="E3A729"/>
          <w:spacing w:val="-7"/>
          <w:w w:val="105"/>
        </w:rPr>
        <w:t> </w:t>
      </w:r>
      <w:r>
        <w:rPr>
          <w:smallCaps/>
          <w:color w:val="E3A729"/>
          <w:spacing w:val="-2"/>
          <w:w w:val="105"/>
        </w:rPr>
        <w:t>Information</w:t>
      </w:r>
    </w:p>
    <w:p>
      <w:pPr>
        <w:pStyle w:val="BodyText"/>
        <w:spacing w:before="103"/>
        <w:rPr>
          <w:b/>
          <w:sz w:val="16"/>
        </w:rPr>
      </w:pPr>
    </w:p>
    <w:p>
      <w:pPr>
        <w:spacing w:before="0"/>
        <w:ind w:left="705" w:right="0" w:firstLine="0"/>
        <w:jc w:val="left"/>
        <w:rPr>
          <w:sz w:val="20"/>
        </w:rPr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1F1F1F"/>
          <w:sz w:val="20"/>
        </w:rPr>
        <w:t>(555) 000-0000</w:t>
      </w:r>
    </w:p>
    <w:p>
      <w:pPr>
        <w:spacing w:line="331" w:lineRule="auto" w:before="104"/>
        <w:ind w:left="706" w:right="515" w:firstLine="19"/>
        <w:jc w:val="left"/>
        <w:rPr>
          <w:sz w:val="20"/>
        </w:rPr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hyperlink r:id="rId7">
        <w:r>
          <w:rPr>
            <w:color w:val="1F1F1F"/>
            <w:sz w:val="20"/>
          </w:rPr>
          <w:t>email@example.com</w:t>
        </w:r>
      </w:hyperlink>
      <w:r>
        <w:rPr>
          <w:color w:val="1F1F1F"/>
          <w:sz w:val="20"/>
        </w:rPr>
        <w:t> </w:t>
      </w:r>
      <w:r>
        <w:rPr>
          <w:color w:val="1F1F1F"/>
          <w:position w:val="-10"/>
          <w:sz w:val="20"/>
        </w:rPr>
        <w:drawing>
          <wp:inline distT="0" distB="0" distL="0" distR="0">
            <wp:extent cx="199480" cy="20076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0"/>
          <w:sz w:val="20"/>
        </w:rPr>
      </w:r>
      <w:r>
        <w:rPr>
          <w:rFonts w:ascii="Times New Roman"/>
          <w:color w:val="1F1F1F"/>
          <w:spacing w:val="40"/>
          <w:sz w:val="20"/>
        </w:rPr>
        <w:t> </w:t>
      </w:r>
      <w:r>
        <w:rPr>
          <w:color w:val="1F1F1F"/>
          <w:sz w:val="20"/>
        </w:rPr>
        <w:t>Seattle, WA</w:t>
      </w:r>
    </w:p>
    <w:p>
      <w:pPr>
        <w:pStyle w:val="BodyText"/>
        <w:spacing w:before="210"/>
        <w:rPr>
          <w:sz w:val="20"/>
        </w:rPr>
      </w:pPr>
    </w:p>
    <w:p>
      <w:pPr>
        <w:pStyle w:val="Heading1"/>
      </w:pPr>
      <w:r>
        <w:rPr>
          <w:smallCaps/>
          <w:color w:val="E3A729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ind w:left="521"/>
      </w:pPr>
      <w:r>
        <w:rPr>
          <w:w w:val="105"/>
        </w:rPr>
        <w:t>Master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Finance</w:t>
      </w:r>
    </w:p>
    <w:p>
      <w:pPr>
        <w:pStyle w:val="BodyText"/>
        <w:spacing w:line="261" w:lineRule="auto" w:before="33"/>
        <w:ind w:left="521"/>
      </w:pPr>
      <w:r>
        <w:rPr>
          <w:spacing w:val="-2"/>
          <w:w w:val="105"/>
        </w:rPr>
        <w:t>London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Economics,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London, </w:t>
      </w:r>
      <w:r>
        <w:rPr>
          <w:spacing w:val="-4"/>
          <w:w w:val="105"/>
        </w:rPr>
        <w:t>U.K.</w:t>
      </w:r>
    </w:p>
    <w:p>
      <w:pPr>
        <w:pStyle w:val="BodyText"/>
        <w:spacing w:before="62"/>
      </w:pPr>
    </w:p>
    <w:p>
      <w:pPr>
        <w:pStyle w:val="BodyText"/>
        <w:ind w:left="521"/>
      </w:pPr>
      <w:r>
        <w:rPr>
          <w:spacing w:val="-2"/>
          <w:w w:val="105"/>
        </w:rPr>
        <w:t>Bachelor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Economics</w:t>
      </w:r>
    </w:p>
    <w:p>
      <w:pPr>
        <w:pStyle w:val="BodyText"/>
        <w:spacing w:before="33"/>
        <w:ind w:left="521"/>
      </w:pPr>
      <w:r>
        <w:rPr/>
        <w:t>University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California,</w:t>
      </w:r>
      <w:r>
        <w:rPr>
          <w:spacing w:val="9"/>
        </w:rPr>
        <w:t> </w:t>
      </w:r>
      <w:r>
        <w:rPr/>
        <w:t>Berkeley,</w:t>
      </w:r>
      <w:r>
        <w:rPr>
          <w:spacing w:val="10"/>
        </w:rPr>
        <w:t> </w:t>
      </w:r>
      <w:r>
        <w:rPr>
          <w:spacing w:val="-5"/>
        </w:rPr>
        <w:t>CA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</w:pPr>
      <w:r>
        <w:rPr>
          <w:smallCaps/>
          <w:color w:val="E3A729"/>
          <w:w w:val="105"/>
        </w:rPr>
        <w:t>Key </w:t>
      </w:r>
      <w:r>
        <w:rPr>
          <w:smallCaps/>
          <w:color w:val="E3A729"/>
          <w:spacing w:val="-2"/>
          <w:w w:val="105"/>
        </w:rPr>
        <w:t>Skills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tabs>
          <w:tab w:pos="819" w:val="left" w:leader="none"/>
        </w:tabs>
        <w:spacing w:line="278" w:lineRule="auto"/>
        <w:ind w:left="819" w:right="60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Investment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banking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execution </w:t>
      </w:r>
      <w:r>
        <w:rPr>
          <w:w w:val="105"/>
        </w:rPr>
        <w:t>and M&amp;A advisory</w:t>
      </w:r>
    </w:p>
    <w:p>
      <w:pPr>
        <w:pStyle w:val="BodyText"/>
        <w:tabs>
          <w:tab w:pos="819" w:val="left" w:leader="none"/>
        </w:tabs>
        <w:spacing w:line="261" w:lineRule="auto" w:before="90"/>
        <w:ind w:left="819" w:right="215" w:hanging="295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Financial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modeling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valuation </w:t>
      </w:r>
      <w:r>
        <w:rPr>
          <w:w w:val="105"/>
        </w:rPr>
        <w:t>(DCF, LBO, comps)</w:t>
      </w:r>
    </w:p>
    <w:p>
      <w:pPr>
        <w:pStyle w:val="BodyText"/>
        <w:tabs>
          <w:tab w:pos="819" w:val="left" w:leader="none"/>
        </w:tabs>
        <w:spacing w:line="278" w:lineRule="auto" w:before="104"/>
        <w:ind w:left="819" w:right="216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Pitch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book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preparation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client presentations</w:t>
      </w:r>
    </w:p>
    <w:p>
      <w:pPr>
        <w:pStyle w:val="BodyText"/>
        <w:tabs>
          <w:tab w:pos="819" w:val="left" w:leader="none"/>
        </w:tabs>
        <w:spacing w:line="278" w:lineRule="auto" w:before="74"/>
        <w:ind w:left="819" w:right="370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Due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diligence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coordination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data room management</w:t>
      </w:r>
    </w:p>
    <w:p>
      <w:pPr>
        <w:pStyle w:val="BodyText"/>
        <w:tabs>
          <w:tab w:pos="819" w:val="left" w:leader="none"/>
        </w:tabs>
        <w:spacing w:line="261" w:lineRule="auto" w:before="90"/>
        <w:ind w:left="819" w:right="557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Risk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credit analysis</w:t>
      </w:r>
    </w:p>
    <w:p>
      <w:pPr>
        <w:pStyle w:val="BodyText"/>
        <w:tabs>
          <w:tab w:pos="819" w:val="left" w:leader="none"/>
        </w:tabs>
        <w:spacing w:line="278" w:lineRule="auto" w:before="104"/>
        <w:ind w:left="819" w:right="443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Client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relationship management</w:t>
      </w:r>
    </w:p>
    <w:p>
      <w:pPr>
        <w:pStyle w:val="BodyText"/>
        <w:tabs>
          <w:tab w:pos="819" w:val="left" w:leader="none"/>
        </w:tabs>
        <w:spacing w:line="278" w:lineRule="auto" w:before="75"/>
        <w:ind w:left="819" w:right="836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Deal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structuring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term negotiation</w:t>
      </w:r>
    </w:p>
    <w:p>
      <w:pPr>
        <w:pStyle w:val="BodyText"/>
        <w:tabs>
          <w:tab w:pos="819" w:val="left" w:leader="none"/>
        </w:tabs>
        <w:spacing w:line="261" w:lineRule="auto" w:before="90"/>
        <w:ind w:left="819" w:right="515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Data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gathering,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analysis,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market research</w:t>
      </w:r>
    </w:p>
    <w:p>
      <w:pPr>
        <w:pStyle w:val="BodyText"/>
        <w:tabs>
          <w:tab w:pos="819" w:val="left" w:leader="none"/>
        </w:tabs>
        <w:spacing w:line="278" w:lineRule="auto" w:before="103"/>
        <w:ind w:left="819" w:right="206" w:hanging="295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Cross-functional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leadership </w:t>
      </w:r>
      <w:r>
        <w:rPr>
          <w:w w:val="105"/>
        </w:rPr>
        <w:t>and project management</w:t>
      </w:r>
    </w:p>
    <w:p>
      <w:pPr>
        <w:spacing w:line="830" w:lineRule="exact" w:before="0"/>
        <w:ind w:left="192" w:right="27" w:firstLine="0"/>
        <w:jc w:val="center"/>
        <w:rPr>
          <w:sz w:val="74"/>
        </w:rPr>
      </w:pPr>
      <w:r>
        <w:rPr/>
        <w:br w:type="column"/>
      </w:r>
      <w:r>
        <w:rPr>
          <w:b/>
          <w:color w:val="E3A729"/>
          <w:sz w:val="74"/>
        </w:rPr>
        <w:t>Yaling</w:t>
      </w:r>
      <w:r>
        <w:rPr>
          <w:b/>
          <w:color w:val="E3A729"/>
          <w:spacing w:val="-44"/>
          <w:sz w:val="74"/>
        </w:rPr>
        <w:t> </w:t>
      </w:r>
      <w:r>
        <w:rPr>
          <w:color w:val="E3A729"/>
          <w:spacing w:val="-2"/>
          <w:sz w:val="74"/>
        </w:rPr>
        <w:t>Zhang</w:t>
      </w:r>
    </w:p>
    <w:p>
      <w:pPr>
        <w:spacing w:before="87"/>
        <w:ind w:left="192" w:right="27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744</wp:posOffset>
                </wp:positionH>
                <wp:positionV relativeFrom="paragraph">
                  <wp:posOffset>-1156853</wp:posOffset>
                </wp:positionV>
                <wp:extent cx="2598420" cy="23526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598420" cy="2352675"/>
                          <a:chExt cx="2598420" cy="23526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005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598420" cy="2352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09"/>
                                <w:rPr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28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E3A729"/>
                                  <w:spacing w:val="-5"/>
                                  <w:sz w:val="74"/>
                                </w:rPr>
                                <w:t>YZ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58594pt;margin-top:-91.09079pt;width:204.6pt;height:185.25pt;mso-position-horizontal-relative:page;mso-position-vertical-relative:paragraph;z-index:15729664" id="docshapegroup1" coordorigin="1,-1822" coordsize="4092,3705">
                <v:shape style="position:absolute;left:1;top:-1822;width:4092;height:2655" id="docshape2" coordorigin="1,-1822" coordsize="4092,2655" path="m11,833l1,833,1,-1822,4093,-1822,4093,-1051,11,833xe" filled="true" fillcolor="#e3a729" stroked="false">
                  <v:path arrowok="t"/>
                  <v:fill type="solid"/>
                </v:shape>
                <v:shape style="position:absolute;left:450;top:-1192;width:3060;height:3075" type="#_x0000_t75" id="docshape3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;top:-1822;width:4092;height:370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09"/>
                          <w:rPr>
                            <w:sz w:val="74"/>
                          </w:rPr>
                        </w:pPr>
                      </w:p>
                      <w:p>
                        <w:pPr>
                          <w:spacing w:before="1"/>
                          <w:ind w:left="0" w:right="128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E3A729"/>
                            <w:spacing w:val="-5"/>
                            <w:sz w:val="74"/>
                          </w:rPr>
                          <w:t>YZ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3A729"/>
          <w:sz w:val="22"/>
        </w:rPr>
        <w:t>Associate</w:t>
      </w:r>
      <w:r>
        <w:rPr>
          <w:color w:val="E3A729"/>
          <w:spacing w:val="1"/>
          <w:sz w:val="22"/>
        </w:rPr>
        <w:t> </w:t>
      </w:r>
      <w:r>
        <w:rPr>
          <w:color w:val="E3A729"/>
          <w:sz w:val="22"/>
        </w:rPr>
        <w:t>Investment</w:t>
      </w:r>
      <w:r>
        <w:rPr>
          <w:color w:val="E3A729"/>
          <w:spacing w:val="2"/>
          <w:sz w:val="22"/>
        </w:rPr>
        <w:t> </w:t>
      </w:r>
      <w:r>
        <w:rPr>
          <w:color w:val="E3A729"/>
          <w:spacing w:val="-2"/>
          <w:sz w:val="22"/>
        </w:rPr>
        <w:t>Banker</w:t>
      </w:r>
    </w:p>
    <w:p>
      <w:pPr>
        <w:pStyle w:val="BodyText"/>
        <w:spacing w:line="292" w:lineRule="auto" w:before="249"/>
        <w:ind w:left="192" w:right="25"/>
        <w:jc w:val="center"/>
      </w:pPr>
      <w:r>
        <w:rPr>
          <w:w w:val="105"/>
        </w:rPr>
        <w:t>Skilled</w:t>
      </w:r>
      <w:r>
        <w:rPr>
          <w:spacing w:val="-14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investment</w:t>
      </w:r>
      <w:r>
        <w:rPr>
          <w:spacing w:val="-13"/>
          <w:w w:val="105"/>
        </w:rPr>
        <w:t> </w:t>
      </w:r>
      <w:r>
        <w:rPr>
          <w:w w:val="105"/>
        </w:rPr>
        <w:t>banker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7+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experience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ﬁnancial</w:t>
      </w:r>
      <w:r>
        <w:rPr>
          <w:spacing w:val="-13"/>
          <w:w w:val="105"/>
        </w:rPr>
        <w:t> </w:t>
      </w:r>
      <w:r>
        <w:rPr>
          <w:w w:val="105"/>
        </w:rPr>
        <w:t>analysis,</w:t>
      </w:r>
      <w:r>
        <w:rPr>
          <w:spacing w:val="-13"/>
          <w:w w:val="105"/>
        </w:rPr>
        <w:t> </w:t>
      </w:r>
      <w:r>
        <w:rPr>
          <w:w w:val="105"/>
        </w:rPr>
        <w:t>deal execution,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client</w:t>
      </w:r>
      <w:r>
        <w:rPr>
          <w:spacing w:val="-1"/>
          <w:w w:val="105"/>
        </w:rPr>
        <w:t> </w:t>
      </w:r>
      <w:r>
        <w:rPr>
          <w:w w:val="105"/>
        </w:rPr>
        <w:t>relationship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Ernst</w:t>
      </w:r>
      <w:r>
        <w:rPr>
          <w:spacing w:val="-1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Young</w:t>
      </w:r>
      <w:r>
        <w:rPr>
          <w:spacing w:val="-1"/>
          <w:w w:val="105"/>
        </w:rPr>
        <w:t> </w:t>
      </w:r>
      <w:r>
        <w:rPr>
          <w:w w:val="105"/>
        </w:rPr>
        <w:t>and PricewaterhouseCoopers.</w:t>
      </w:r>
      <w:r>
        <w:rPr>
          <w:spacing w:val="-3"/>
          <w:w w:val="105"/>
        </w:rPr>
        <w:t> </w:t>
      </w:r>
      <w:r>
        <w:rPr>
          <w:w w:val="105"/>
        </w:rPr>
        <w:t>Led</w:t>
      </w:r>
      <w:r>
        <w:rPr>
          <w:spacing w:val="-3"/>
          <w:w w:val="105"/>
        </w:rPr>
        <w:t> </w:t>
      </w:r>
      <w:r>
        <w:rPr>
          <w:w w:val="105"/>
        </w:rPr>
        <w:t>analysis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50+</w:t>
      </w:r>
      <w:r>
        <w:rPr>
          <w:spacing w:val="-3"/>
          <w:w w:val="105"/>
        </w:rPr>
        <w:t> </w:t>
      </w:r>
      <w:r>
        <w:rPr>
          <w:w w:val="105"/>
        </w:rPr>
        <w:t>investment</w:t>
      </w:r>
      <w:r>
        <w:rPr>
          <w:spacing w:val="-3"/>
          <w:w w:val="105"/>
        </w:rPr>
        <w:t> </w:t>
      </w:r>
      <w:r>
        <w:rPr>
          <w:w w:val="105"/>
        </w:rPr>
        <w:t>opportunities</w:t>
      </w:r>
      <w:r>
        <w:rPr>
          <w:spacing w:val="-3"/>
          <w:w w:val="105"/>
        </w:rPr>
        <w:t> </w:t>
      </w:r>
      <w:r>
        <w:rPr>
          <w:w w:val="105"/>
        </w:rPr>
        <w:t>resulting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20 successful</w:t>
      </w:r>
      <w:r>
        <w:rPr>
          <w:spacing w:val="-4"/>
          <w:w w:val="105"/>
        </w:rPr>
        <w:t> </w:t>
      </w:r>
      <w:r>
        <w:rPr>
          <w:w w:val="105"/>
        </w:rPr>
        <w:t>deal</w:t>
      </w:r>
      <w:r>
        <w:rPr>
          <w:spacing w:val="-4"/>
          <w:w w:val="105"/>
        </w:rPr>
        <w:t> </w:t>
      </w:r>
      <w:r>
        <w:rPr>
          <w:w w:val="105"/>
        </w:rPr>
        <w:t>closures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executed</w:t>
      </w:r>
      <w:r>
        <w:rPr>
          <w:spacing w:val="-4"/>
          <w:w w:val="105"/>
        </w:rPr>
        <w:t> </w:t>
      </w:r>
      <w:r>
        <w:rPr>
          <w:w w:val="105"/>
        </w:rPr>
        <w:t>10</w:t>
      </w:r>
      <w:r>
        <w:rPr>
          <w:spacing w:val="-4"/>
          <w:w w:val="105"/>
        </w:rPr>
        <w:t> </w:t>
      </w:r>
      <w:r>
        <w:rPr>
          <w:w w:val="105"/>
        </w:rPr>
        <w:t>transactions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PwC</w:t>
      </w:r>
      <w:r>
        <w:rPr>
          <w:spacing w:val="-4"/>
          <w:w w:val="105"/>
        </w:rPr>
        <w:t> </w:t>
      </w:r>
      <w:r>
        <w:rPr>
          <w:w w:val="105"/>
        </w:rPr>
        <w:t>covering</w:t>
      </w:r>
      <w:r>
        <w:rPr>
          <w:spacing w:val="-4"/>
          <w:w w:val="105"/>
        </w:rPr>
        <w:t> </w:t>
      </w:r>
      <w:r>
        <w:rPr>
          <w:w w:val="105"/>
        </w:rPr>
        <w:t>pitch books,</w:t>
      </w:r>
      <w:r>
        <w:rPr>
          <w:spacing w:val="-3"/>
          <w:w w:val="105"/>
        </w:rPr>
        <w:t> </w:t>
      </w:r>
      <w:r>
        <w:rPr>
          <w:w w:val="105"/>
        </w:rPr>
        <w:t>due</w:t>
      </w:r>
      <w:r>
        <w:rPr>
          <w:spacing w:val="-3"/>
          <w:w w:val="105"/>
        </w:rPr>
        <w:t> </w:t>
      </w:r>
      <w:r>
        <w:rPr>
          <w:w w:val="105"/>
        </w:rPr>
        <w:t>diligence,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negotiations.</w:t>
      </w:r>
      <w:r>
        <w:rPr>
          <w:spacing w:val="-3"/>
          <w:w w:val="105"/>
        </w:rPr>
        <w:t> </w:t>
      </w:r>
      <w:r>
        <w:rPr>
          <w:w w:val="105"/>
        </w:rPr>
        <w:t>CFA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FRM</w:t>
      </w:r>
      <w:r>
        <w:rPr>
          <w:spacing w:val="-3"/>
          <w:w w:val="105"/>
        </w:rPr>
        <w:t> </w:t>
      </w:r>
      <w:r>
        <w:rPr>
          <w:w w:val="105"/>
        </w:rPr>
        <w:t>certiﬁed.</w:t>
      </w:r>
      <w:r>
        <w:rPr>
          <w:spacing w:val="-3"/>
          <w:w w:val="105"/>
        </w:rPr>
        <w:t> </w:t>
      </w:r>
      <w:r>
        <w:rPr>
          <w:w w:val="105"/>
        </w:rPr>
        <w:t>Expert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ﬁnancial modeling,</w:t>
      </w:r>
      <w:r>
        <w:rPr>
          <w:spacing w:val="-2"/>
          <w:w w:val="105"/>
        </w:rPr>
        <w:t> </w:t>
      </w:r>
      <w:r>
        <w:rPr>
          <w:w w:val="105"/>
        </w:rPr>
        <w:t>M&amp;A</w:t>
      </w:r>
      <w:r>
        <w:rPr>
          <w:spacing w:val="-12"/>
          <w:w w:val="105"/>
        </w:rPr>
        <w:t> </w:t>
      </w:r>
      <w:r>
        <w:rPr>
          <w:w w:val="105"/>
        </w:rPr>
        <w:t>execution,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managing</w:t>
      </w:r>
      <w:r>
        <w:rPr>
          <w:spacing w:val="-2"/>
          <w:w w:val="105"/>
        </w:rPr>
        <w:t> </w:t>
      </w:r>
      <w:r>
        <w:rPr>
          <w:w w:val="105"/>
        </w:rPr>
        <w:t>complex</w:t>
      </w:r>
      <w:r>
        <w:rPr>
          <w:spacing w:val="-2"/>
          <w:w w:val="105"/>
        </w:rPr>
        <w:t> </w:t>
      </w:r>
      <w:r>
        <w:rPr>
          <w:w w:val="105"/>
        </w:rPr>
        <w:t>cross-border</w:t>
      </w:r>
      <w:r>
        <w:rPr>
          <w:spacing w:val="-2"/>
          <w:w w:val="105"/>
        </w:rPr>
        <w:t> </w:t>
      </w:r>
      <w:r>
        <w:rPr>
          <w:w w:val="105"/>
        </w:rPr>
        <w:t>transactions</w:t>
      </w:r>
      <w:r>
        <w:rPr>
          <w:spacing w:val="-2"/>
          <w:w w:val="105"/>
        </w:rPr>
        <w:t> </w:t>
      </w:r>
      <w:r>
        <w:rPr>
          <w:w w:val="105"/>
        </w:rPr>
        <w:t>under demanding timelines.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2600324</wp:posOffset>
                </wp:positionH>
                <wp:positionV relativeFrom="paragraph">
                  <wp:posOffset>70850</wp:posOffset>
                </wp:positionV>
                <wp:extent cx="4714875" cy="190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714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4875" h="19050">
                              <a:moveTo>
                                <a:pt x="4714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714874" y="0"/>
                              </a:lnTo>
                              <a:lnTo>
                                <a:pt x="4714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7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749985pt;margin-top:5.578748pt;width:371.24997pt;height:1.5pt;mso-position-horizontal-relative:page;mso-position-vertical-relative:paragraph;z-index:-15728640;mso-wrap-distance-left:0;mso-wrap-distance-right:0" id="docshape5" filled="true" fillcolor="#e3a72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0"/>
      </w:pPr>
    </w:p>
    <w:p>
      <w:pPr>
        <w:pStyle w:val="Heading1"/>
      </w:pPr>
      <w:r>
        <w:rPr>
          <w:smallCaps/>
          <w:color w:val="E3A729"/>
          <w:spacing w:val="-2"/>
          <w:w w:val="105"/>
        </w:rPr>
        <w:t>Professional</w:t>
      </w:r>
      <w:r>
        <w:rPr>
          <w:smallCaps/>
          <w:color w:val="E3A729"/>
          <w:spacing w:val="6"/>
          <w:w w:val="105"/>
        </w:rPr>
        <w:t> </w:t>
      </w:r>
      <w:r>
        <w:rPr>
          <w:smallCaps/>
          <w:color w:val="E3A729"/>
          <w:spacing w:val="-2"/>
          <w:w w:val="105"/>
        </w:rPr>
        <w:t>Experience</w:t>
      </w:r>
    </w:p>
    <w:p>
      <w:pPr>
        <w:pStyle w:val="BodyText"/>
        <w:spacing w:before="40"/>
        <w:rPr>
          <w:b/>
          <w:sz w:val="16"/>
        </w:rPr>
      </w:pPr>
    </w:p>
    <w:p>
      <w:pPr>
        <w:spacing w:before="0"/>
        <w:ind w:left="503" w:right="0" w:firstLine="0"/>
        <w:jc w:val="left"/>
        <w:rPr>
          <w:b/>
          <w:sz w:val="18"/>
        </w:rPr>
      </w:pPr>
      <w:r>
        <w:rPr>
          <w:b/>
          <w:sz w:val="18"/>
        </w:rPr>
        <w:t>Senior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Associate,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Investment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Banking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June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2018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33"/>
        <w:ind w:left="503"/>
      </w:pPr>
      <w:r>
        <w:rPr>
          <w:spacing w:val="-2"/>
          <w:w w:val="105"/>
        </w:rPr>
        <w:t>Ernst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Young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(EY)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Boston,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0" w:after="0"/>
        <w:ind w:left="1191" w:right="647" w:hanging="300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analyze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investment opportunities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healthcare,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technology,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sectors, resulting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successful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closures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worth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$2.4B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aggregate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value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100" w:after="0"/>
        <w:ind w:left="1191" w:right="632" w:hanging="300"/>
        <w:jc w:val="left"/>
        <w:rPr>
          <w:sz w:val="18"/>
        </w:rPr>
      </w:pPr>
      <w:r>
        <w:rPr>
          <w:w w:val="105"/>
          <w:sz w:val="18"/>
        </w:rPr>
        <w:t>Restored positive relationships with 8 key institutional clients through </w:t>
      </w:r>
      <w:r>
        <w:rPr>
          <w:spacing w:val="-2"/>
          <w:w w:val="105"/>
          <w:sz w:val="18"/>
        </w:rPr>
        <w:t>proactive communication and customized ﬁnancial reporting, increasing </w:t>
      </w:r>
      <w:r>
        <w:rPr>
          <w:w w:val="105"/>
          <w:sz w:val="18"/>
        </w:rPr>
        <w:t>client retention by 30% and unlocking $150M in repeat mandates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99" w:after="0"/>
        <w:ind w:left="1191" w:right="693" w:hanging="300"/>
        <w:jc w:val="left"/>
        <w:rPr>
          <w:sz w:val="18"/>
        </w:rPr>
      </w:pPr>
      <w:r>
        <w:rPr>
          <w:w w:val="105"/>
          <w:sz w:val="18"/>
        </w:rPr>
        <w:t>Played a key role in deal execution across M&amp;A, equity raises, and debt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ﬁnancings,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closures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 improved pipeline management and client engagement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78" w:lineRule="auto" w:before="100" w:after="0"/>
        <w:ind w:left="1191" w:right="808" w:hanging="300"/>
        <w:jc w:val="left"/>
        <w:rPr>
          <w:sz w:val="18"/>
        </w:rPr>
      </w:pPr>
      <w:r>
        <w:rPr>
          <w:w w:val="105"/>
          <w:sz w:val="18"/>
        </w:rPr>
        <w:t>Built comprehensive ﬁnancial models including DCF, LBO, and comparable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company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analyses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ranging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$50M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to</w:t>
      </w:r>
    </w:p>
    <w:p>
      <w:pPr>
        <w:pStyle w:val="BodyText"/>
        <w:spacing w:line="192" w:lineRule="exact"/>
        <w:ind w:left="1191"/>
      </w:pPr>
      <w:r>
        <w:rPr>
          <w:w w:val="105"/>
        </w:rPr>
        <w:t>$500M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deal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size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123" w:after="0"/>
        <w:ind w:left="1191" w:right="683" w:hanging="300"/>
        <w:jc w:val="left"/>
        <w:rPr>
          <w:sz w:val="18"/>
        </w:rPr>
      </w:pPr>
      <w:r>
        <w:rPr>
          <w:w w:val="105"/>
          <w:sz w:val="18"/>
        </w:rPr>
        <w:t>Prepared and presented 30+ pitch books to C-suite executives and board-level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stakeholders,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competitive mandates over a 3-year period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99" w:after="0"/>
        <w:ind w:left="1191" w:right="776" w:hanging="300"/>
        <w:jc w:val="left"/>
        <w:rPr>
          <w:sz w:val="18"/>
        </w:rPr>
      </w:pPr>
      <w:r>
        <w:rPr>
          <w:w w:val="105"/>
          <w:sz w:val="18"/>
        </w:rPr>
        <w:t>Mentored and developed 4 analyst-level associates on ﬁnancial modeling,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due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diligence,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presentation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skills,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ramp-up time by 30% for new team members</w:t>
      </w:r>
    </w:p>
    <w:p>
      <w:pPr>
        <w:spacing w:before="205"/>
        <w:ind w:left="503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Associate,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Investment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Banking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2016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2018</w:t>
      </w:r>
    </w:p>
    <w:p>
      <w:pPr>
        <w:pStyle w:val="BodyText"/>
        <w:spacing w:before="33"/>
        <w:ind w:left="503"/>
      </w:pPr>
      <w:r>
        <w:rPr/>
        <w:t>PricewaterhouseCoopers</w:t>
      </w:r>
      <w:r>
        <w:rPr>
          <w:spacing w:val="17"/>
        </w:rPr>
        <w:t> </w:t>
      </w:r>
      <w:r>
        <w:rPr/>
        <w:t>(PwC)</w:t>
      </w:r>
      <w:r>
        <w:rPr>
          <w:spacing w:val="17"/>
        </w:rPr>
        <w:t> </w:t>
      </w:r>
      <w:r>
        <w:rPr/>
        <w:t>|</w:t>
      </w:r>
      <w:r>
        <w:rPr>
          <w:spacing w:val="18"/>
        </w:rPr>
        <w:t> </w:t>
      </w:r>
      <w:r>
        <w:rPr/>
        <w:t>London,</w:t>
      </w:r>
      <w:r>
        <w:rPr>
          <w:spacing w:val="17"/>
        </w:rPr>
        <w:t> </w:t>
      </w:r>
      <w:r>
        <w:rPr>
          <w:spacing w:val="-4"/>
        </w:rPr>
        <w:t>U.K.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0" w:after="0"/>
        <w:ind w:left="1191" w:right="657" w:hanging="300"/>
        <w:jc w:val="left"/>
        <w:rPr>
          <w:sz w:val="18"/>
        </w:rPr>
      </w:pPr>
      <w:r>
        <w:rPr>
          <w:spacing w:val="-2"/>
          <w:w w:val="105"/>
          <w:sz w:val="18"/>
        </w:rPr>
        <w:t>Analyzed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modeled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30+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investment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opportunities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across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EMEA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Asia-Paciﬁc markets, resulting in 10 successful deal closures with a combined transaction value of $850M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99" w:after="0"/>
        <w:ind w:left="1191" w:right="828" w:hanging="300"/>
        <w:jc w:val="left"/>
        <w:rPr>
          <w:sz w:val="18"/>
        </w:rPr>
      </w:pPr>
      <w:r>
        <w:rPr>
          <w:w w:val="105"/>
          <w:sz w:val="18"/>
        </w:rPr>
        <w:t>Executed end-to-end deal responsibilities including pitch book </w:t>
      </w:r>
      <w:r>
        <w:rPr>
          <w:spacing w:val="-2"/>
          <w:w w:val="105"/>
          <w:sz w:val="18"/>
        </w:rPr>
        <w:t>preparation, due diligence coordination, term negotiation, and closing </w:t>
      </w:r>
      <w:r>
        <w:rPr>
          <w:w w:val="105"/>
          <w:sz w:val="18"/>
        </w:rPr>
        <w:t>documentation for transactions across 5 industry verticals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100" w:after="0"/>
        <w:ind w:left="1191" w:right="776" w:hanging="300"/>
        <w:jc w:val="left"/>
        <w:rPr>
          <w:sz w:val="18"/>
        </w:rPr>
      </w:pPr>
      <w:r>
        <w:rPr>
          <w:w w:val="105"/>
          <w:sz w:val="18"/>
        </w:rPr>
        <w:t>Coordinated multi-party due diligence processes involving legal, tax, 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advisors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cross-border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data rooms of 5,000+ documents per deal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8" w:lineRule="auto" w:before="99" w:after="0"/>
        <w:ind w:left="1191" w:right="622" w:hanging="300"/>
        <w:jc w:val="left"/>
        <w:rPr>
          <w:sz w:val="18"/>
        </w:rPr>
      </w:pPr>
      <w:r>
        <w:rPr>
          <w:w w:val="105"/>
          <w:sz w:val="18"/>
        </w:rPr>
        <w:t>Developed and maintained complex ﬁnancial models for 15+ live </w:t>
      </w:r>
      <w:r>
        <w:rPr>
          <w:spacing w:val="-2"/>
          <w:w w:val="105"/>
          <w:sz w:val="18"/>
        </w:rPr>
        <w:t>transactions, ensuring accuracy and version control across parallel deal processes</w:t>
      </w:r>
    </w:p>
    <w:p>
      <w:pPr>
        <w:pStyle w:val="ListParagraph"/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0" w:bottom="0" w:left="0" w:right="141"/>
          <w:cols w:num="2" w:equalWidth="0">
            <w:col w:w="3745" w:space="329"/>
            <w:col w:w="7705"/>
          </w:cols>
        </w:sectPr>
      </w:pPr>
    </w:p>
    <w:p>
      <w:pPr>
        <w:pStyle w:val="BodyText"/>
        <w:spacing w:before="4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00325" cy="10706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6003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10706100">
                              <a:moveTo>
                                <a:pt x="260032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600324" y="0"/>
                              </a:lnTo>
                              <a:lnTo>
                                <a:pt x="260032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4.749984pt;height:842.999933pt;mso-position-horizontal-relative:page;mso-position-vertical-relative:page;z-index:-15814656" id="docshape6" filled="true" fillcolor="#f5f5f5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left="0" w:right="441"/>
        <w:jc w:val="center"/>
      </w:pPr>
      <w:r>
        <w:rPr>
          <w:smallCaps/>
          <w:color w:val="E3A729"/>
          <w:spacing w:val="-2"/>
          <w:w w:val="105"/>
        </w:rPr>
        <w:t>Professional</w:t>
      </w:r>
      <w:r>
        <w:rPr>
          <w:smallCaps/>
          <w:color w:val="E3A729"/>
          <w:spacing w:val="6"/>
          <w:w w:val="105"/>
        </w:rPr>
        <w:t> </w:t>
      </w:r>
      <w:r>
        <w:rPr>
          <w:smallCaps/>
          <w:color w:val="E3A729"/>
          <w:spacing w:val="-2"/>
          <w:w w:val="105"/>
        </w:rPr>
        <w:t>Development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873" w:val="left" w:leader="none"/>
        </w:tabs>
        <w:spacing w:line="240" w:lineRule="auto" w:before="0" w:after="0"/>
        <w:ind w:left="4873" w:right="0" w:hanging="299"/>
        <w:jc w:val="left"/>
        <w:rPr>
          <w:sz w:val="18"/>
        </w:rPr>
      </w:pPr>
      <w:r>
        <w:rPr>
          <w:sz w:val="18"/>
        </w:rPr>
        <w:t>Chartered</w:t>
      </w:r>
      <w:r>
        <w:rPr>
          <w:spacing w:val="8"/>
          <w:sz w:val="18"/>
        </w:rPr>
        <w:t> </w:t>
      </w:r>
      <w:r>
        <w:rPr>
          <w:sz w:val="18"/>
        </w:rPr>
        <w:t>Financial</w:t>
      </w:r>
      <w:r>
        <w:rPr>
          <w:spacing w:val="-3"/>
          <w:sz w:val="18"/>
        </w:rPr>
        <w:t> </w:t>
      </w:r>
      <w:r>
        <w:rPr>
          <w:sz w:val="18"/>
        </w:rPr>
        <w:t>Analyst</w:t>
      </w:r>
      <w:r>
        <w:rPr>
          <w:spacing w:val="8"/>
          <w:sz w:val="18"/>
        </w:rPr>
        <w:t> </w:t>
      </w:r>
      <w:r>
        <w:rPr>
          <w:sz w:val="18"/>
        </w:rPr>
        <w:t>(CFA)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8"/>
          <w:sz w:val="18"/>
        </w:rPr>
        <w:t> </w:t>
      </w:r>
      <w:r>
        <w:rPr>
          <w:sz w:val="18"/>
        </w:rPr>
        <w:t>CFA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Institute</w:t>
      </w:r>
    </w:p>
    <w:p>
      <w:pPr>
        <w:pStyle w:val="ListParagraph"/>
        <w:numPr>
          <w:ilvl w:val="1"/>
          <w:numId w:val="1"/>
        </w:numPr>
        <w:tabs>
          <w:tab w:pos="4873" w:val="left" w:leader="none"/>
        </w:tabs>
        <w:spacing w:line="240" w:lineRule="auto" w:before="123" w:after="0"/>
        <w:ind w:left="4873" w:right="0" w:hanging="299"/>
        <w:jc w:val="left"/>
        <w:rPr>
          <w:sz w:val="18"/>
        </w:rPr>
      </w:pPr>
      <w:r>
        <w:rPr>
          <w:spacing w:val="-2"/>
          <w:w w:val="105"/>
          <w:sz w:val="18"/>
        </w:rPr>
        <w:t>Financial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Risk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(FRM)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Global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Association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Risk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Professionals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00325" cy="10706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6003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10706100">
                              <a:moveTo>
                                <a:pt x="260032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600324" y="0"/>
                              </a:lnTo>
                              <a:lnTo>
                                <a:pt x="260032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4.749984pt;height:842.999933pt;mso-position-horizontal-relative:page;mso-position-vertical-relative:page;z-index:-15813632" id="docshape7" filled="true" fillcolor="#f5f5f5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8.png"/>
      </v:shape>
    </w:pict>
  </w:numPicBullet>
  <w:numPicBullet w:numPicBulletId="1">
    <w:pict>
      <v:shape id="_x0000_i1076" type="#_x0000_t75" style="width:7.500000pt;height:7.500000pt" o:bullet="t">
        <v:imagedata r:id="rId2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191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4874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93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07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6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1191" w:hanging="3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2026-03-19T18:34:10Z</dcterms:created>
  <dcterms:modified xsi:type="dcterms:W3CDTF">2026-03-19T18:34:10Z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2026-03-19T00:00:00Z</vt:filetime>
  </property>
  <property fmtid="{D5CDD505-2E9C-101B-9397-08002B2CF9AE}" pid="5" name="Producer">
    <vt:lpwstr>pdf-merger-js</vt:lpwstr>
  </property>
</Properties>
</file>