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" w:right="12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Rebecca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Phillips</w:t>
      </w:r>
    </w:p>
    <w:p>
      <w:pPr>
        <w:pStyle w:val="Heading1"/>
      </w:pPr>
      <w:r>
        <w:rPr>
          <w:color w:val="FFFFFF"/>
        </w:rPr>
        <w:t>Graphic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Designer</w:t>
      </w:r>
    </w:p>
    <w:p>
      <w:pPr>
        <w:spacing w:line="273" w:lineRule="auto" w:before="193"/>
        <w:ind w:left="590" w:right="126" w:firstLine="0"/>
        <w:jc w:val="left"/>
        <w:rPr>
          <w:sz w:val="16"/>
        </w:rPr>
      </w:pPr>
      <w:r>
        <w:rPr>
          <w:color w:val="FFFFFF"/>
          <w:w w:val="105"/>
          <w:sz w:val="16"/>
        </w:rPr>
        <w:t>Graphic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designer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brand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identity,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packaging,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digital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campaigns.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project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kickoff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-1"/>
          <w:w w:val="105"/>
          <w:sz w:val="16"/>
        </w:rPr>
        <w:t> </w:t>
      </w:r>
      <w:r>
        <w:rPr>
          <w:color w:val="FFFFFF"/>
          <w:w w:val="105"/>
          <w:sz w:val="16"/>
        </w:rPr>
        <w:t>print delivery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partnering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copy,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marketing,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dev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teams.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Strongest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typography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systems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brand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work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needs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feel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polished without losing its 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2"/>
        <w:spacing w:before="80"/>
        <w:ind w:left="0" w:right="1141"/>
        <w:jc w:val="right"/>
      </w:pPr>
      <w:r>
        <w:rPr>
          <w:color w:val="090909"/>
        </w:rPr>
        <w:t>Contact</w:t>
      </w:r>
      <w:r>
        <w:rPr>
          <w:color w:val="090909"/>
          <w:spacing w:val="49"/>
        </w:rPr>
        <w:t> </w:t>
      </w:r>
      <w:r>
        <w:rPr>
          <w:color w:val="090909"/>
          <w:spacing w:val="-2"/>
        </w:rPr>
        <w:t>Information</w:t>
      </w:r>
    </w:p>
    <w:p>
      <w:pPr>
        <w:pStyle w:val="BodyText"/>
        <w:spacing w:before="46"/>
        <w:rPr>
          <w:sz w:val="22"/>
        </w:rPr>
      </w:pPr>
    </w:p>
    <w:p>
      <w:pPr>
        <w:pStyle w:val="BodyText"/>
        <w:ind w:right="1132"/>
        <w:jc w:val="right"/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(503) 555-0147</w:t>
      </w:r>
    </w:p>
    <w:p>
      <w:pPr>
        <w:pStyle w:val="BodyText"/>
        <w:spacing w:before="89"/>
      </w:pPr>
    </w:p>
    <w:p>
      <w:pPr>
        <w:pStyle w:val="BodyText"/>
        <w:spacing w:line="278" w:lineRule="auto"/>
        <w:ind w:left="795" w:right="6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59764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</w:rPr>
          <w:t>maya.holloway@example.co</w:t>
        </w:r>
      </w:hyperlink>
      <w:r>
        <w:rPr>
          <w:color w:val="424242"/>
          <w:spacing w:val="80"/>
          <w:w w:val="105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81"/>
      </w:pPr>
    </w:p>
    <w:p>
      <w:pPr>
        <w:pStyle w:val="BodyText"/>
        <w:spacing w:before="1"/>
        <w:ind w:left="346"/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Portland, OR 12345</w:t>
      </w:r>
    </w:p>
    <w:p>
      <w:pPr>
        <w:pStyle w:val="BodyText"/>
        <w:spacing w:before="66"/>
      </w:pPr>
    </w:p>
    <w:p>
      <w:pPr>
        <w:pStyle w:val="Heading2"/>
      </w:pPr>
      <w:r>
        <w:rPr>
          <w:color w:val="090909"/>
          <w:spacing w:val="-2"/>
        </w:rPr>
        <w:t>Education</w:t>
      </w:r>
    </w:p>
    <w:p>
      <w:pPr>
        <w:spacing w:before="65"/>
        <w:ind w:left="5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Professional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Experience</w:t>
      </w:r>
    </w:p>
    <w:p>
      <w:pPr>
        <w:pStyle w:val="BodyText"/>
        <w:spacing w:before="45"/>
        <w:rPr>
          <w:sz w:val="22"/>
        </w:rPr>
      </w:pPr>
    </w:p>
    <w:p>
      <w:pPr>
        <w:pStyle w:val="BodyText"/>
        <w:spacing w:line="268" w:lineRule="auto"/>
        <w:ind w:left="51"/>
      </w:pPr>
      <w:r>
        <w:rPr/>
        <w:t>GRAPHIC DESIGNER </w:t>
      </w:r>
      <w:r>
        <w:rPr>
          <w:position w:val="2"/>
        </w:rPr>
        <w:t>| </w:t>
      </w:r>
      <w:r>
        <w:rPr/>
        <w:t>FERNRIDGE GOODS CO., PORTLAND, OR | 2021 TO PRESENT 2021 – PRESENT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201" w:lineRule="auto" w:before="200" w:after="0"/>
        <w:ind w:left="590" w:right="50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packaging redesign for a 14-SKU pantry line that lifted Amazon click-through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 2.1% to 4.8% within two quarters.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189" w:lineRule="auto" w:before="109" w:after="0"/>
        <w:ind w:left="590" w:right="25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Figma-based brand system (logo lockups, type scale, color tokens) now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used by three downstream agency partners.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189" w:lineRule="auto" w:before="110" w:after="0"/>
        <w:ind w:left="590" w:right="122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seasonal campaign assets across email, paid social, and OOH, hitting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roughly 40+ deliverables per launch cycle.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283" w:right="283"/>
          <w:cols w:num="2" w:equalWidth="0">
            <w:col w:w="3250" w:space="433"/>
            <w:col w:w="7671"/>
          </w:cols>
        </w:sect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7" w:after="0"/>
        <w:ind w:left="646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BFA, Graphic Design, Pacific Northwest College of Art, 2019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7" w:after="0"/>
        <w:ind w:left="646" w:right="52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Art directed two product shoots alongside an external photographer, cutting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outsourced retouching costs by about a third.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79" w:lineRule="exact" w:before="5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Mentored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designer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crit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sessions.</w:t>
      </w:r>
    </w:p>
    <w:p>
      <w:pPr>
        <w:pStyle w:val="ListParagraph"/>
        <w:spacing w:after="0" w:line="279" w:lineRule="exact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283" w:right="283"/>
          <w:cols w:num="2" w:equalWidth="0">
            <w:col w:w="3343" w:space="284"/>
            <w:col w:w="7727"/>
          </w:cols>
        </w:sectPr>
      </w:pPr>
    </w:p>
    <w:p>
      <w:pPr>
        <w:pStyle w:val="Heading2"/>
        <w:spacing w:line="218" w:lineRule="exact"/>
      </w:pPr>
      <w:r>
        <w:rPr>
          <w:color w:val="090909"/>
        </w:rPr>
        <w:t>Key</w:t>
      </w:r>
      <w:r>
        <w:rPr>
          <w:color w:val="090909"/>
          <w:spacing w:val="25"/>
        </w:rPr>
        <w:t> </w:t>
      </w:r>
      <w:r>
        <w:rPr>
          <w:color w:val="090909"/>
          <w:spacing w:val="-2"/>
        </w:rPr>
        <w:t>Skills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0" w:after="0"/>
        <w:ind w:left="646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Adobe Illustrator, Photoshop, </w:t>
      </w:r>
      <w:r>
        <w:rPr>
          <w:spacing w:val="-2"/>
          <w:w w:val="105"/>
          <w:sz w:val="18"/>
        </w:rPr>
        <w:t>InDesign</w:t>
      </w:r>
    </w:p>
    <w:p>
      <w:pPr>
        <w:pStyle w:val="BodyText"/>
        <w:spacing w:before="54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51" w:right="624"/>
      </w:pPr>
      <w:r>
        <w:rPr/>
        <w:t>JUNIOR DESIGNER </w:t>
      </w:r>
      <w:r>
        <w:rPr>
          <w:position w:val="2"/>
        </w:rPr>
        <w:t>| </w:t>
      </w:r>
      <w:r>
        <w:rPr/>
        <w:t>HALVERSON CREATIVE, PORTLAND, OR | 2019 TO 2021 2019 –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283" w:right="283"/>
          <w:cols w:num="2" w:equalWidth="0">
            <w:col w:w="3151" w:space="532"/>
            <w:col w:w="7671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60" w:after="0"/>
        <w:ind w:left="645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419349"/>
                            <a:ext cx="5168265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657850">
                                <a:moveTo>
                                  <a:pt x="5167883" y="5657849"/>
                                </a:moveTo>
                                <a:lnTo>
                                  <a:pt x="0" y="56578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5657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3696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rect style="position:absolute;left:3780;top:3810;width:8139;height:8910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Figma,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Sketch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5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After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Effects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(basic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motion)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2" w:lineRule="exact" w:before="0" w:after="0"/>
        <w:ind w:left="645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Brand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identity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23" w:after="0"/>
        <w:ind w:left="646" w:right="788" w:hanging="298"/>
        <w:jc w:val="left"/>
        <w:rPr>
          <w:position w:val="-4"/>
          <w:sz w:val="31"/>
        </w:rPr>
      </w:pPr>
      <w:r>
        <w:rPr>
          <w:w w:val="105"/>
          <w:sz w:val="18"/>
        </w:rPr>
        <w:t>Packaging and print </w:t>
      </w:r>
      <w:r>
        <w:rPr>
          <w:spacing w:val="-2"/>
          <w:w w:val="105"/>
          <w:sz w:val="18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58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Typography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type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pairing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37" w:after="0"/>
        <w:ind w:left="646" w:right="667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Pre-press and vendor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6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Art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direction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37" w:after="0"/>
        <w:ind w:left="646" w:right="197" w:hanging="298"/>
        <w:jc w:val="left"/>
        <w:rPr>
          <w:position w:val="-4"/>
          <w:sz w:val="31"/>
        </w:rPr>
      </w:pPr>
      <w:r>
        <w:rPr>
          <w:w w:val="105"/>
          <w:sz w:val="18"/>
        </w:rPr>
        <w:t>Email and social campaign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39" w:after="0"/>
        <w:ind w:left="646" w:right="4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Produced layouts for annual reports, pitch decks, and event collateral across 12+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B2B clients.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81" w:after="0"/>
        <w:ind w:left="646" w:right="318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 production art and pre-press handoff for print runs ranging from 500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80,000 units.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09" w:after="0"/>
        <w:ind w:left="646" w:right="47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motion versions of static social ads in After Effects, which clients began requesting as a default add-on.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5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studio's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licensing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records.</w:t>
      </w:r>
    </w:p>
    <w:sectPr>
      <w:type w:val="continuous"/>
      <w:pgSz w:w="11920" w:h="16860"/>
      <w:pgMar w:top="820" w:bottom="280" w:left="283" w:right="283"/>
      <w:cols w:num="2" w:equalWidth="0">
        <w:col w:w="3188" w:space="439"/>
        <w:col w:w="77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2" w:right="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ya.holloway@example.co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2026-06-23T14:52:06Z</dcterms:created>
  <dcterms:modified xsi:type="dcterms:W3CDTF">2026-06-23T14:52:06Z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