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2"/>
        <w:rPr>
          <w:rFonts w:ascii="Times New Roman"/>
          <w:sz w:val="74"/>
        </w:rPr>
      </w:pPr>
    </w:p>
    <w:p>
      <w:pPr>
        <w:spacing w:before="0"/>
        <w:ind w:left="3945" w:right="338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485774</wp:posOffset>
                </wp:positionH>
                <wp:positionV relativeFrom="paragraph">
                  <wp:posOffset>-216235</wp:posOffset>
                </wp:positionV>
                <wp:extent cx="1600200" cy="16954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600200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836"/>
                              <w:ind w:left="638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spacing w:val="-5"/>
                                <w:sz w:val="74"/>
                              </w:rPr>
                              <w:t>BW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249996pt;margin-top:-17.02639pt;width:126pt;height:133.5pt;mso-position-horizontal-relative:page;mso-position-vertical-relative:paragraph;z-index:15730176" type="#_x0000_t202" id="docshape1" filled="true" fillcolor="#f2f2f2" stroked="false">
                <v:textbox inset="0,0,0,0">
                  <w:txbxContent>
                    <w:p>
                      <w:pPr>
                        <w:spacing w:before="836"/>
                        <w:ind w:left="638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424242"/>
                          <w:spacing w:val="-5"/>
                          <w:sz w:val="74"/>
                        </w:rPr>
                        <w:t>BW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424242"/>
          <w:spacing w:val="12"/>
          <w:sz w:val="74"/>
        </w:rPr>
        <w:t>Barbara</w:t>
      </w:r>
      <w:r>
        <w:rPr>
          <w:b/>
          <w:color w:val="424242"/>
          <w:spacing w:val="29"/>
          <w:sz w:val="74"/>
        </w:rPr>
        <w:t> </w:t>
      </w:r>
      <w:r>
        <w:rPr>
          <w:color w:val="424242"/>
          <w:spacing w:val="9"/>
          <w:sz w:val="74"/>
        </w:rPr>
        <w:t>Wilson</w:t>
      </w:r>
    </w:p>
    <w:p>
      <w:pPr>
        <w:pStyle w:val="Heading2"/>
      </w:pPr>
      <w:r>
        <w:rPr>
          <w:color w:val="424242"/>
        </w:rPr>
        <w:t>Business</w:t>
      </w:r>
      <w:r>
        <w:rPr>
          <w:color w:val="424242"/>
          <w:spacing w:val="62"/>
        </w:rPr>
        <w:t> </w:t>
      </w:r>
      <w:r>
        <w:rPr>
          <w:color w:val="424242"/>
        </w:rPr>
        <w:t>Development</w:t>
      </w:r>
      <w:r>
        <w:rPr>
          <w:color w:val="424242"/>
          <w:spacing w:val="63"/>
        </w:rPr>
        <w:t> </w:t>
      </w:r>
      <w:r>
        <w:rPr>
          <w:color w:val="424242"/>
          <w:spacing w:val="-2"/>
        </w:rPr>
        <w:t>Manager</w:t>
      </w:r>
    </w:p>
    <w:p>
      <w:pPr>
        <w:pStyle w:val="BodyText"/>
        <w:spacing w:before="40"/>
        <w:rPr>
          <w:b/>
        </w:rPr>
      </w:pPr>
    </w:p>
    <w:p>
      <w:pPr>
        <w:spacing w:line="273" w:lineRule="auto" w:before="0"/>
        <w:ind w:left="3945" w:right="324" w:firstLine="0"/>
        <w:jc w:val="center"/>
        <w:rPr>
          <w:sz w:val="16"/>
        </w:rPr>
      </w:pPr>
      <w:r>
        <w:rPr>
          <w:color w:val="424242"/>
          <w:w w:val="105"/>
          <w:sz w:val="16"/>
        </w:rPr>
        <w:t>Senior Business Development leader with 14 years building enterprise pipelines across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w w:val="105"/>
          <w:sz w:val="16"/>
        </w:rPr>
        <w:t>cybersecurity, fintech, and supply-chain software. Has carried direct quotas above $6M and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w w:val="105"/>
          <w:sz w:val="16"/>
        </w:rPr>
        <w:t>built</w:t>
      </w:r>
      <w:r>
        <w:rPr>
          <w:color w:val="424242"/>
          <w:spacing w:val="31"/>
          <w:w w:val="105"/>
          <w:sz w:val="16"/>
        </w:rPr>
        <w:t> </w:t>
      </w:r>
      <w:r>
        <w:rPr>
          <w:color w:val="424242"/>
          <w:w w:val="105"/>
          <w:sz w:val="16"/>
        </w:rPr>
        <w:t>BDR</w:t>
      </w:r>
      <w:r>
        <w:rPr>
          <w:color w:val="424242"/>
          <w:spacing w:val="31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31"/>
          <w:w w:val="105"/>
          <w:sz w:val="16"/>
        </w:rPr>
        <w:t> </w:t>
      </w:r>
      <w:r>
        <w:rPr>
          <w:color w:val="424242"/>
          <w:w w:val="105"/>
          <w:sz w:val="16"/>
        </w:rPr>
        <w:t>partner</w:t>
      </w:r>
      <w:r>
        <w:rPr>
          <w:color w:val="424242"/>
          <w:spacing w:val="31"/>
          <w:w w:val="105"/>
          <w:sz w:val="16"/>
        </w:rPr>
        <w:t> </w:t>
      </w:r>
      <w:r>
        <w:rPr>
          <w:color w:val="424242"/>
          <w:w w:val="105"/>
          <w:sz w:val="16"/>
        </w:rPr>
        <w:t>teams</w:t>
      </w:r>
      <w:r>
        <w:rPr>
          <w:color w:val="424242"/>
          <w:spacing w:val="31"/>
          <w:w w:val="105"/>
          <w:sz w:val="16"/>
        </w:rPr>
        <w:t> </w:t>
      </w:r>
      <w:r>
        <w:rPr>
          <w:color w:val="424242"/>
          <w:w w:val="105"/>
          <w:sz w:val="16"/>
        </w:rPr>
        <w:t>from</w:t>
      </w:r>
      <w:r>
        <w:rPr>
          <w:color w:val="424242"/>
          <w:spacing w:val="31"/>
          <w:w w:val="105"/>
          <w:sz w:val="16"/>
        </w:rPr>
        <w:t> </w:t>
      </w:r>
      <w:r>
        <w:rPr>
          <w:color w:val="424242"/>
          <w:w w:val="105"/>
          <w:sz w:val="16"/>
        </w:rPr>
        <w:t>scratch.</w:t>
      </w:r>
      <w:r>
        <w:rPr>
          <w:color w:val="424242"/>
          <w:spacing w:val="31"/>
          <w:w w:val="105"/>
          <w:sz w:val="16"/>
        </w:rPr>
        <w:t> </w:t>
      </w:r>
      <w:r>
        <w:rPr>
          <w:color w:val="424242"/>
          <w:w w:val="105"/>
          <w:sz w:val="16"/>
        </w:rPr>
        <w:t>Equal</w:t>
      </w:r>
      <w:r>
        <w:rPr>
          <w:color w:val="424242"/>
          <w:spacing w:val="31"/>
          <w:w w:val="105"/>
          <w:sz w:val="16"/>
        </w:rPr>
        <w:t> </w:t>
      </w:r>
      <w:r>
        <w:rPr>
          <w:color w:val="424242"/>
          <w:w w:val="105"/>
          <w:sz w:val="16"/>
        </w:rPr>
        <w:t>parts</w:t>
      </w:r>
      <w:r>
        <w:rPr>
          <w:color w:val="424242"/>
          <w:spacing w:val="31"/>
          <w:w w:val="105"/>
          <w:sz w:val="16"/>
        </w:rPr>
        <w:t> </w:t>
      </w:r>
      <w:r>
        <w:rPr>
          <w:color w:val="424242"/>
          <w:w w:val="105"/>
          <w:sz w:val="16"/>
        </w:rPr>
        <w:t>player</w:t>
      </w:r>
      <w:r>
        <w:rPr>
          <w:color w:val="424242"/>
          <w:spacing w:val="31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31"/>
          <w:w w:val="105"/>
          <w:sz w:val="16"/>
        </w:rPr>
        <w:t> </w:t>
      </w:r>
      <w:r>
        <w:rPr>
          <w:color w:val="424242"/>
          <w:w w:val="105"/>
          <w:sz w:val="16"/>
        </w:rPr>
        <w:t>coach.</w:t>
      </w:r>
    </w:p>
    <w:p>
      <w:pPr>
        <w:pStyle w:val="BodyText"/>
        <w:spacing w:before="2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2647949</wp:posOffset>
                </wp:positionH>
                <wp:positionV relativeFrom="paragraph">
                  <wp:posOffset>296134</wp:posOffset>
                </wp:positionV>
                <wp:extent cx="4920615" cy="23812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920615" cy="238125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line="314" w:lineRule="exact" w:before="0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4"/>
                                <w:w w:val="90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5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95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23.317661pt;width:387.45pt;height:18.75pt;mso-position-horizontal-relative:page;mso-position-vertical-relative:paragraph;z-index:-15728640;mso-wrap-distance-left:0;mso-wrap-distance-right:0" type="#_x0000_t202" id="docshape2" filled="true" fillcolor="#424242" stroked="false">
                <v:textbox inset="0,0,0,0">
                  <w:txbxContent>
                    <w:p>
                      <w:pPr>
                        <w:spacing w:line="314" w:lineRule="exact" w:before="0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4"/>
                          <w:w w:val="90"/>
                          <w:sz w:val="28"/>
                        </w:rPr>
                        <w:t>Professional</w:t>
                      </w:r>
                      <w:r>
                        <w:rPr>
                          <w:b/>
                          <w:smallCaps/>
                          <w:color w:val="FFFFFF"/>
                          <w:spacing w:val="55"/>
                          <w:sz w:val="28"/>
                        </w:rPr>
                        <w:t> </w:t>
                      </w:r>
                      <w:r>
                        <w:rPr>
                          <w:b/>
                          <w:smallCaps/>
                          <w:color w:val="FFFFFF"/>
                          <w:spacing w:val="-2"/>
                          <w:w w:val="95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20" w:h="16860"/>
          <w:pgMar w:top="0" w:bottom="0" w:left="566" w:right="0"/>
        </w:sectPr>
      </w:pPr>
    </w:p>
    <w:p>
      <w:pPr>
        <w:pStyle w:val="Heading1"/>
        <w:spacing w:before="53"/>
      </w:pPr>
      <w:r>
        <w:rPr>
          <w:smallCaps/>
          <w:color w:val="424242"/>
          <w:w w:val="95"/>
        </w:rPr>
        <w:t>Contact</w:t>
      </w:r>
      <w:r>
        <w:rPr>
          <w:smallCaps/>
          <w:color w:val="424242"/>
          <w:spacing w:val="-3"/>
        </w:rPr>
        <w:t> </w:t>
      </w:r>
      <w:r>
        <w:rPr>
          <w:smallCaps/>
          <w:color w:val="424242"/>
          <w:spacing w:val="-2"/>
          <w:w w:val="90"/>
        </w:rPr>
        <w:t>Information</w:t>
      </w:r>
    </w:p>
    <w:p>
      <w:pPr>
        <w:pStyle w:val="BodyText"/>
        <w:spacing w:before="36"/>
        <w:rPr>
          <w:b/>
          <w:sz w:val="20"/>
        </w:rPr>
      </w:pPr>
    </w:p>
    <w:p>
      <w:pPr>
        <w:pStyle w:val="BodyText"/>
        <w:spacing w:line="78" w:lineRule="exact"/>
        <w:ind w:left="586"/>
      </w:pPr>
      <w:r>
        <w:rPr>
          <w:color w:val="FFFFFF"/>
          <w:w w:val="105"/>
        </w:rPr>
        <w:t>(503)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0156</w:t>
      </w:r>
    </w:p>
    <w:p>
      <w:pPr>
        <w:pStyle w:val="BodyText"/>
        <w:spacing w:line="268" w:lineRule="auto" w:before="150"/>
        <w:ind w:left="29" w:right="457"/>
      </w:pPr>
      <w:r>
        <w:rPr/>
        <w:br w:type="column"/>
      </w:r>
      <w:r>
        <w:rPr/>
        <w:t>DIRECTOR OF BUSINESS DEVELOPMENT </w:t>
      </w:r>
      <w:r>
        <w:rPr>
          <w:position w:val="2"/>
        </w:rPr>
        <w:t>| </w:t>
      </w:r>
      <w:r>
        <w:rPr/>
        <w:t>FOXGLEN SUPPLY AI, PORTLAND, OR 2020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0" w:bottom="0" w:left="566" w:right="0"/>
          <w:cols w:num="2" w:equalWidth="0">
            <w:col w:w="2649" w:space="1052"/>
            <w:col w:w="7653"/>
          </w:cols>
        </w:sectPr>
      </w:pPr>
    </w:p>
    <w:p>
      <w:pPr>
        <w:pStyle w:val="BodyText"/>
        <w:spacing w:before="196"/>
      </w:pPr>
    </w:p>
    <w:p>
      <w:pPr>
        <w:pStyle w:val="BodyText"/>
        <w:spacing w:line="278" w:lineRule="auto"/>
        <w:ind w:left="586" w:right="78"/>
      </w:pPr>
      <w:hyperlink r:id="rId5">
        <w:r>
          <w:rPr>
            <w:color w:val="FFFFFF"/>
            <w:spacing w:val="-2"/>
          </w:rPr>
          <w:t>eleanor.whitfield@example.co</w:t>
        </w:r>
      </w:hyperlink>
      <w:r>
        <w:rPr>
          <w:color w:val="FFFFFF"/>
          <w:spacing w:val="80"/>
          <w:w w:val="105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32"/>
      </w:pPr>
    </w:p>
    <w:p>
      <w:pPr>
        <w:pStyle w:val="BodyText"/>
        <w:spacing w:before="1"/>
        <w:ind w:left="586"/>
      </w:pPr>
      <w:r>
        <w:rPr>
          <w:color w:val="FFFFFF"/>
          <w:w w:val="105"/>
        </w:rPr>
        <w:t>Portland,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9"/>
          <w:w w:val="105"/>
        </w:rPr>
        <w:t> </w:t>
      </w:r>
      <w:r>
        <w:rPr>
          <w:color w:val="FFFFFF"/>
          <w:spacing w:val="-4"/>
          <w:w w:val="105"/>
        </w:rPr>
        <w:t>12345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Heading1"/>
      </w:pPr>
      <w:r>
        <w:rPr>
          <w:smallCaps/>
          <w:color w:val="424242"/>
        </w:rPr>
        <w:t>Key</w:t>
      </w:r>
      <w:r>
        <w:rPr>
          <w:smallCaps/>
          <w:color w:val="424242"/>
          <w:spacing w:val="-12"/>
        </w:rPr>
        <w:t> </w:t>
      </w:r>
      <w:r>
        <w:rPr>
          <w:smallCaps/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201" w:lineRule="auto" w:before="203" w:after="0"/>
        <w:ind w:left="475" w:right="244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Sales team leadership (BDR and AE)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189" w:lineRule="auto" w:before="109" w:after="0"/>
        <w:ind w:left="475" w:right="167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Partner and channel program </w:t>
      </w:r>
      <w:r>
        <w:rPr>
          <w:color w:val="FFFFFF"/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exact" w:before="59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Enterprise</w:t>
      </w:r>
      <w:r>
        <w:rPr>
          <w:color w:val="FFFFFF"/>
          <w:spacing w:val="11"/>
          <w:w w:val="105"/>
          <w:sz w:val="18"/>
        </w:rPr>
        <w:t> </w:t>
      </w:r>
      <w:r>
        <w:rPr>
          <w:color w:val="FFFFFF"/>
          <w:w w:val="105"/>
          <w:sz w:val="18"/>
        </w:rPr>
        <w:t>deal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strategy</w:t>
      </w:r>
    </w:p>
    <w:p>
      <w:pPr>
        <w:pStyle w:val="ListParagraph"/>
        <w:numPr>
          <w:ilvl w:val="1"/>
          <w:numId w:val="1"/>
        </w:numPr>
        <w:tabs>
          <w:tab w:pos="752" w:val="left" w:leader="none"/>
          <w:tab w:pos="754" w:val="left" w:leader="none"/>
        </w:tabs>
        <w:spacing w:line="189" w:lineRule="auto" w:before="51" w:after="0"/>
        <w:ind w:left="754" w:right="514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Built the BDR function from 2 to 18 reps and stood up the partner channel that now sources 31% of new ARR.</w:t>
      </w:r>
    </w:p>
    <w:p>
      <w:pPr>
        <w:pStyle w:val="ListParagraph"/>
        <w:numPr>
          <w:ilvl w:val="1"/>
          <w:numId w:val="1"/>
        </w:numPr>
        <w:tabs>
          <w:tab w:pos="752" w:val="left" w:leader="none"/>
          <w:tab w:pos="754" w:val="left" w:leader="none"/>
        </w:tabs>
        <w:spacing w:line="201" w:lineRule="auto" w:before="98" w:after="0"/>
        <w:ind w:left="754" w:right="947" w:hanging="298"/>
        <w:jc w:val="left"/>
        <w:rPr>
          <w:sz w:val="18"/>
        </w:rPr>
      </w:pPr>
      <w:r>
        <w:rPr>
          <w:w w:val="105"/>
          <w:sz w:val="18"/>
        </w:rPr>
        <w:t>Personally closed $8.4M in strategic deals while managing the team, including a Fortune 500 retail logistics win.</w:t>
      </w:r>
    </w:p>
    <w:p>
      <w:pPr>
        <w:pStyle w:val="ListParagraph"/>
        <w:numPr>
          <w:ilvl w:val="1"/>
          <w:numId w:val="1"/>
        </w:numPr>
        <w:tabs>
          <w:tab w:pos="752" w:val="left" w:leader="none"/>
          <w:tab w:pos="754" w:val="left" w:leader="none"/>
        </w:tabs>
        <w:spacing w:line="201" w:lineRule="auto" w:before="82" w:after="0"/>
        <w:ind w:left="754" w:right="750" w:hanging="298"/>
        <w:jc w:val="left"/>
        <w:rPr>
          <w:sz w:val="18"/>
        </w:rPr>
      </w:pPr>
      <w:r>
        <w:rPr>
          <w:w w:val="105"/>
          <w:sz w:val="18"/>
        </w:rPr>
        <w:t>Rewrote the territory model around named accounts, which cut overlap complaints to near zero within a quarter.</w:t>
      </w:r>
    </w:p>
    <w:p>
      <w:pPr>
        <w:pStyle w:val="ListParagraph"/>
        <w:numPr>
          <w:ilvl w:val="1"/>
          <w:numId w:val="1"/>
        </w:numPr>
        <w:tabs>
          <w:tab w:pos="752" w:val="left" w:leader="none"/>
          <w:tab w:pos="754" w:val="left" w:leader="none"/>
        </w:tabs>
        <w:spacing w:line="189" w:lineRule="auto" w:before="109" w:after="0"/>
        <w:ind w:left="754" w:right="796" w:hanging="298"/>
        <w:jc w:val="left"/>
        <w:rPr>
          <w:sz w:val="18"/>
        </w:rPr>
      </w:pPr>
      <w:r>
        <w:rPr>
          <w:w w:val="105"/>
          <w:sz w:val="18"/>
        </w:rPr>
        <w:t>Sit on the GTM steering committee and own the BDR-to-AE conversion metric (currently 71%).</w:t>
      </w:r>
    </w:p>
    <w:p>
      <w:pPr>
        <w:pStyle w:val="ListParagraph"/>
        <w:numPr>
          <w:ilvl w:val="1"/>
          <w:numId w:val="1"/>
        </w:numPr>
        <w:tabs>
          <w:tab w:pos="752" w:val="left" w:leader="none"/>
          <w:tab w:pos="754" w:val="left" w:leader="none"/>
        </w:tabs>
        <w:spacing w:line="189" w:lineRule="auto" w:before="110" w:after="0"/>
        <w:ind w:left="754" w:right="774" w:hanging="298"/>
        <w:jc w:val="left"/>
        <w:rPr>
          <w:sz w:val="18"/>
        </w:rPr>
      </w:pPr>
      <w:r>
        <w:rPr>
          <w:w w:val="105"/>
          <w:sz w:val="18"/>
        </w:rPr>
        <w:t>Partner with finance on quarterly pipeline coverage targets and weekly forecast calls with the CRO.</w:t>
      </w:r>
    </w:p>
    <w:p>
      <w:pPr>
        <w:pStyle w:val="BodyText"/>
        <w:spacing w:before="92"/>
      </w:pPr>
    </w:p>
    <w:p>
      <w:pPr>
        <w:pStyle w:val="BodyText"/>
        <w:spacing w:line="268" w:lineRule="auto"/>
        <w:ind w:left="29" w:right="457"/>
      </w:pPr>
      <w:r>
        <w:rPr/>
        <w:t>SENIOR BUSINESS DEVELOPMENT MANAGER </w:t>
      </w:r>
      <w:r>
        <w:rPr>
          <w:position w:val="2"/>
        </w:rPr>
        <w:t>| </w:t>
      </w:r>
      <w:r>
        <w:rPr/>
        <w:t>BRENNECKE CYBER, SEATTLE, </w:t>
      </w:r>
      <w:r>
        <w:rPr>
          <w:spacing w:val="-6"/>
        </w:rPr>
        <w:t>WA</w:t>
      </w:r>
    </w:p>
    <w:p>
      <w:pPr>
        <w:pStyle w:val="BodyText"/>
        <w:spacing w:before="8"/>
        <w:ind w:left="29"/>
      </w:pPr>
      <w:r>
        <w:rPr/>
        <w:t>2016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4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0"/>
          <w:cols w:num="2" w:equalWidth="0">
            <w:col w:w="3160" w:space="541"/>
            <w:col w:w="7653"/>
          </w:cols>
        </w:sectPr>
      </w:pP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189" w:lineRule="auto" w:before="141" w:after="0"/>
        <w:ind w:left="475" w:right="256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GTM planning and territory </w:t>
      </w:r>
      <w:r>
        <w:rPr>
          <w:color w:val="FFFFFF"/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43" w:lineRule="exact" w:before="6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Forecasting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at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w w:val="105"/>
          <w:sz w:val="18"/>
        </w:rPr>
        <w:t>CRO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level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189" w:lineRule="auto" w:before="37" w:after="0"/>
        <w:ind w:left="475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Cybersecurity, fintech, supply chain verticals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43" w:lineRule="exact" w:before="59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Salesforce,</w:t>
      </w:r>
      <w:r>
        <w:rPr>
          <w:color w:val="FFFFFF"/>
          <w:spacing w:val="15"/>
          <w:w w:val="105"/>
          <w:sz w:val="18"/>
        </w:rPr>
        <w:t> </w:t>
      </w:r>
      <w:r>
        <w:rPr>
          <w:color w:val="FFFFFF"/>
          <w:w w:val="105"/>
          <w:sz w:val="18"/>
        </w:rPr>
        <w:t>Clari,</w:t>
      </w:r>
      <w:r>
        <w:rPr>
          <w:color w:val="FFFFFF"/>
          <w:spacing w:val="1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Crossbeam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1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Executive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presentation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204" w:lineRule="auto" w:before="35" w:after="0"/>
        <w:ind w:left="475" w:right="836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Carried a $4.2M quota and finished 2019 at 137%, top rep in the West </w:t>
      </w:r>
      <w:r>
        <w:rPr>
          <w:spacing w:val="-2"/>
          <w:w w:val="105"/>
          <w:sz w:val="18"/>
        </w:rPr>
        <w:t>region.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189" w:lineRule="auto" w:before="107" w:after="0"/>
        <w:ind w:left="475" w:right="428" w:hanging="298"/>
        <w:jc w:val="left"/>
        <w:rPr>
          <w:position w:val="-4"/>
          <w:sz w:val="31"/>
        </w:rPr>
      </w:pPr>
      <w:r>
        <w:rPr>
          <w:w w:val="105"/>
          <w:sz w:val="18"/>
        </w:rPr>
        <w:t>Closed the firm's first seven-figure deal, a $1.6M three-year contract with a regional utility.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43" w:lineRule="exact" w:before="60" w:after="0"/>
        <w:ind w:left="47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Mentored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reps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who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later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moved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into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roles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3"/>
          <w:w w:val="105"/>
          <w:sz w:val="18"/>
        </w:rPr>
        <w:t> </w:t>
      </w:r>
      <w:r>
        <w:rPr>
          <w:spacing w:val="-4"/>
          <w:w w:val="105"/>
          <w:sz w:val="18"/>
        </w:rPr>
        <w:t>org.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189" w:lineRule="auto" w:before="37" w:after="0"/>
        <w:ind w:left="475" w:right="502" w:hanging="298"/>
        <w:jc w:val="left"/>
        <w:rPr>
          <w:position w:val="-4"/>
          <w:sz w:val="31"/>
        </w:rPr>
      </w:pPr>
      <w:r>
        <w:rPr>
          <w:w w:val="105"/>
          <w:sz w:val="18"/>
        </w:rPr>
        <w:t>Drove a competitive displacement play against the incumbent vendor 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brought in 9 new logos in 12 months.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0"/>
          <w:cols w:num="2" w:equalWidth="0">
            <w:col w:w="3038" w:space="943"/>
            <w:col w:w="7373"/>
          </w:cols>
        </w:sectPr>
      </w:pP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204" w:lineRule="auto" w:before="35" w:after="0"/>
        <w:ind w:left="475" w:right="38" w:hanging="298"/>
        <w:jc w:val="left"/>
        <w:rPr>
          <w:color w:val="FFFFFF"/>
          <w:position w:val="-2"/>
          <w:sz w:val="31"/>
        </w:rPr>
      </w:pPr>
      <w:r>
        <w:rPr>
          <w:color w:val="FFFFFF"/>
          <w:w w:val="105"/>
          <w:sz w:val="18"/>
        </w:rPr>
        <w:t>Pricing and commercial </w:t>
      </w:r>
      <w:r>
        <w:rPr>
          <w:color w:val="FFFFFF"/>
          <w:spacing w:val="-2"/>
          <w:w w:val="105"/>
          <w:sz w:val="18"/>
        </w:rPr>
        <w:t>structure</w:t>
      </w:r>
    </w:p>
    <w:p>
      <w:pPr>
        <w:pStyle w:val="BodyText"/>
        <w:spacing w:line="285" w:lineRule="auto" w:before="58"/>
        <w:ind w:left="177" w:right="635"/>
      </w:pPr>
      <w:r>
        <w:rPr/>
        <w:br w:type="column"/>
      </w:r>
      <w:r>
        <w:rPr/>
        <w:t>BUSINESS DEVELOPMENT MANAGER </w:t>
      </w:r>
      <w:r>
        <w:rPr>
          <w:position w:val="2"/>
        </w:rPr>
        <w:t>| </w:t>
      </w:r>
      <w:r>
        <w:rPr/>
        <w:t>LINWOOD PAYMENTS, SAN DIEGO, CA 2013 – 2016</w:t>
      </w:r>
    </w:p>
    <w:p>
      <w:pPr>
        <w:pStyle w:val="BodyText"/>
        <w:spacing w:after="0" w:line="285" w:lineRule="auto"/>
        <w:sectPr>
          <w:type w:val="continuous"/>
          <w:pgSz w:w="11920" w:h="16860"/>
          <w:pgMar w:top="0" w:bottom="0" w:left="566" w:right="0"/>
          <w:cols w:num="2" w:equalWidth="0">
            <w:col w:w="2526" w:space="1027"/>
            <w:col w:w="7801"/>
          </w:cols>
        </w:sect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Hiring</w:t>
      </w:r>
      <w:r>
        <w:rPr>
          <w:color w:val="FFFFFF"/>
          <w:spacing w:val="7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ramp</w:t>
      </w:r>
      <w:r>
        <w:rPr>
          <w:color w:val="FFFFFF"/>
          <w:spacing w:val="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201" w:lineRule="auto" w:before="114" w:after="0"/>
        <w:ind w:left="475" w:right="778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Hit or exceeded quota in 11 of 12 quarters across SMB and lower mid-market payments.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  <w:tab w:pos="475" w:val="left" w:leader="none"/>
        </w:tabs>
        <w:spacing w:line="201" w:lineRule="auto" w:before="81" w:after="0"/>
        <w:ind w:left="475" w:right="494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and ran the channel referral program with regional ISOs, contributing about a third of new logos.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59" w:after="0"/>
        <w:ind w:left="47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Promoted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twice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tenure,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AE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Senior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AE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8"/>
          <w:w w:val="105"/>
          <w:sz w:val="18"/>
        </w:rPr>
        <w:t> </w:t>
      </w:r>
      <w:r>
        <w:rPr>
          <w:spacing w:val="-4"/>
          <w:w w:val="105"/>
          <w:sz w:val="18"/>
        </w:rPr>
        <w:t>BDM.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0"/>
          <w:cols w:num="2" w:equalWidth="0">
            <w:col w:w="2678" w:space="1302"/>
            <w:col w:w="7374"/>
          </w:cols>
        </w:sectPr>
      </w:pP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572000"/>
                                </a:moveTo>
                                <a:lnTo>
                                  <a:pt x="0" y="4572000"/>
                                </a:lnTo>
                                <a:lnTo>
                                  <a:pt x="0" y="10382250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10382250"/>
                                </a:lnTo>
                                <a:lnTo>
                                  <a:pt x="2571737" y="4572000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895600"/>
                                </a:moveTo>
                                <a:lnTo>
                                  <a:pt x="0" y="2895600"/>
                                </a:lnTo>
                                <a:lnTo>
                                  <a:pt x="0" y="4324350"/>
                                </a:lnTo>
                                <a:lnTo>
                                  <a:pt x="2571737" y="4324350"/>
                                </a:lnTo>
                                <a:lnTo>
                                  <a:pt x="2571737" y="2895600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57475"/>
                                </a:lnTo>
                                <a:lnTo>
                                  <a:pt x="2571737" y="2657475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57474"/>
                            <a:ext cx="257175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914525">
                                <a:moveTo>
                                  <a:pt x="2571737" y="1666875"/>
                                </a:moveTo>
                                <a:lnTo>
                                  <a:pt x="0" y="1666875"/>
                                </a:lnTo>
                                <a:lnTo>
                                  <a:pt x="0" y="1914525"/>
                                </a:lnTo>
                                <a:lnTo>
                                  <a:pt x="2571737" y="1914525"/>
                                </a:lnTo>
                                <a:lnTo>
                                  <a:pt x="2571737" y="1666875"/>
                                </a:lnTo>
                                <a:close/>
                              </a:path>
                              <a:path w="2571750" h="1914525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571737" y="23812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1" y="3019424"/>
                            <a:ext cx="153439" cy="1534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380" y="3400425"/>
                            <a:ext cx="133180" cy="1533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742" y="3781425"/>
                            <a:ext cx="152456" cy="153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90080" id="docshapegroup3" coordorigin="0,0" coordsize="4050,16860">
                <v:shape style="position:absolute;left:0;top:0;width:4050;height:16860" id="docshape4" coordorigin="0,0" coordsize="4050,16860" path="m4050,7200l0,7200,0,16350,0,16860,4050,16860,4050,16350,4050,7200xm4050,4560l0,4560,0,6810,4050,6810,4050,4560xm4050,0l0,0,0,4110,0,4185,4050,4185,4050,4110,4050,0xe" filled="true" fillcolor="#424242" stroked="false">
                  <v:path arrowok="t"/>
                  <v:fill type="solid"/>
                </v:shape>
                <v:shape style="position:absolute;left:0;top:4185;width:4050;height:3015" id="docshape5" coordorigin="0,4185" coordsize="4050,3015" path="m4050,6810l0,6810,0,7200,4050,7200,4050,6810xm4050,4185l0,4185,0,4560,4050,4560,4050,4185xe" filled="true" fillcolor="#f2c232" stroked="false">
                  <v:path arrowok="t"/>
                  <v:fill type="solid"/>
                </v:shape>
                <v:shape style="position:absolute;left:750;top:4755;width:242;height:242" type="#_x0000_t75" id="docshape6" stroked="false">
                  <v:imagedata r:id="rId6" o:title=""/>
                </v:shape>
                <v:shape style="position:absolute;left:765;top:5355;width:210;height:242" type="#_x0000_t75" id="docshape7" stroked="false">
                  <v:imagedata r:id="rId7" o:title=""/>
                </v:shape>
                <v:shape style="position:absolute;left:750;top:5955;width:241;height:242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8" w:lineRule="auto" w:before="1"/>
        <w:ind w:left="3730" w:right="1136"/>
      </w:pPr>
      <w:r>
        <w:rPr/>
        <w:t>ACCOUNT EXECUTIVE </w:t>
      </w:r>
      <w:r>
        <w:rPr>
          <w:position w:val="2"/>
        </w:rPr>
        <w:t>| </w:t>
      </w:r>
      <w:r>
        <w:rPr/>
        <w:t>TRISTAR MERCHANT GROUP, SAN DIEGO, CA 2010 – 2013</w:t>
      </w:r>
    </w:p>
    <w:p>
      <w:pPr>
        <w:pStyle w:val="ListParagraph"/>
        <w:numPr>
          <w:ilvl w:val="1"/>
          <w:numId w:val="1"/>
        </w:numPr>
        <w:tabs>
          <w:tab w:pos="4453" w:val="left" w:leader="none"/>
          <w:tab w:pos="4455" w:val="left" w:leader="none"/>
        </w:tabs>
        <w:spacing w:line="201" w:lineRule="auto" w:before="109" w:after="0"/>
        <w:ind w:left="4455" w:right="694" w:hanging="298"/>
        <w:jc w:val="left"/>
        <w:rPr>
          <w:sz w:val="18"/>
        </w:rPr>
      </w:pPr>
      <w:r>
        <w:rPr>
          <w:w w:val="105"/>
          <w:sz w:val="18"/>
        </w:rPr>
        <w:t>Started as an inside sales rep and ended as a top-5 outside AE in a 60-person org.</w:t>
      </w:r>
    </w:p>
    <w:p>
      <w:pPr>
        <w:pStyle w:val="ListParagraph"/>
        <w:numPr>
          <w:ilvl w:val="1"/>
          <w:numId w:val="1"/>
        </w:numPr>
        <w:tabs>
          <w:tab w:pos="4454" w:val="left" w:leader="none"/>
        </w:tabs>
        <w:spacing w:line="343" w:lineRule="exact" w:before="43" w:after="0"/>
        <w:ind w:left="4454" w:right="0" w:hanging="296"/>
        <w:jc w:val="left"/>
        <w:rPr>
          <w:sz w:val="18"/>
        </w:rPr>
      </w:pPr>
      <w:r>
        <w:rPr>
          <w:w w:val="105"/>
          <w:sz w:val="18"/>
        </w:rPr>
        <w:t>Owned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territory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spanning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Orange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County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Inland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Empire.</w:t>
      </w:r>
    </w:p>
    <w:p>
      <w:pPr>
        <w:pStyle w:val="ListParagraph"/>
        <w:numPr>
          <w:ilvl w:val="1"/>
          <w:numId w:val="1"/>
        </w:numPr>
        <w:tabs>
          <w:tab w:pos="4454" w:val="left" w:leader="none"/>
        </w:tabs>
        <w:spacing w:line="330" w:lineRule="exact" w:before="0" w:after="0"/>
        <w:ind w:left="4454" w:right="0" w:hanging="296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hires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consultative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selling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framework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player-</w:t>
      </w:r>
      <w:r>
        <w:rPr>
          <w:spacing w:val="-2"/>
          <w:w w:val="105"/>
          <w:sz w:val="18"/>
        </w:rPr>
        <w:t>coach.</w:t>
      </w:r>
    </w:p>
    <w:p>
      <w:pPr>
        <w:pStyle w:val="ListParagraph"/>
        <w:numPr>
          <w:ilvl w:val="1"/>
          <w:numId w:val="1"/>
        </w:numPr>
        <w:tabs>
          <w:tab w:pos="4454" w:val="left" w:leader="none"/>
        </w:tabs>
        <w:spacing w:line="343" w:lineRule="exact" w:before="0" w:after="0"/>
        <w:ind w:left="4454" w:right="0" w:hanging="296"/>
        <w:jc w:val="left"/>
        <w:rPr>
          <w:sz w:val="18"/>
        </w:rPr>
      </w:pPr>
      <w:r>
        <w:rPr>
          <w:w w:val="105"/>
          <w:sz w:val="18"/>
        </w:rPr>
        <w:t>Earned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President's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Club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2012.</w:t>
      </w:r>
    </w:p>
    <w:p>
      <w:pPr>
        <w:pStyle w:val="BodyTex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2647949</wp:posOffset>
                </wp:positionH>
                <wp:positionV relativeFrom="paragraph">
                  <wp:posOffset>88799</wp:posOffset>
                </wp:positionV>
                <wp:extent cx="4920615" cy="23812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920615" cy="238125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line="314" w:lineRule="exact" w:before="0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6.992089pt;width:387.45pt;height:18.75pt;mso-position-horizontal-relative:page;mso-position-vertical-relative:paragraph;z-index:-15728128;mso-wrap-distance-left:0;mso-wrap-distance-right:0" type="#_x0000_t202" id="docshape9" filled="true" fillcolor="#424242" stroked="false">
                <v:textbox inset="0,0,0,0">
                  <w:txbxContent>
                    <w:p>
                      <w:pPr>
                        <w:spacing w:line="314" w:lineRule="exact" w:before="0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-2"/>
                          <w:sz w:val="28"/>
                        </w:rPr>
                        <w:t>Education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</w:pPr>
    </w:p>
    <w:p>
      <w:pPr>
        <w:pStyle w:val="BodyText"/>
        <w:ind w:left="3730"/>
      </w:pPr>
      <w:r>
        <w:rPr>
          <w:w w:val="105"/>
        </w:rPr>
        <w:t>M.B.A.,</w:t>
      </w:r>
      <w:r>
        <w:rPr>
          <w:spacing w:val="10"/>
          <w:w w:val="105"/>
        </w:rPr>
        <w:t> </w:t>
      </w:r>
      <w:r>
        <w:rPr>
          <w:w w:val="105"/>
        </w:rPr>
        <w:t>University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Washington</w:t>
      </w:r>
      <w:r>
        <w:rPr>
          <w:spacing w:val="10"/>
          <w:w w:val="105"/>
        </w:rPr>
        <w:t> </w:t>
      </w:r>
      <w:r>
        <w:rPr>
          <w:w w:val="105"/>
        </w:rPr>
        <w:t>Foster</w:t>
      </w:r>
      <w:r>
        <w:rPr>
          <w:spacing w:val="11"/>
          <w:w w:val="105"/>
        </w:rPr>
        <w:t> </w:t>
      </w:r>
      <w:r>
        <w:rPr>
          <w:w w:val="105"/>
        </w:rPr>
        <w:t>School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Business,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5717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0" h="10706100">
                              <a:moveTo>
                                <a:pt x="2571737" y="0"/>
                              </a:moveTo>
                              <a:lnTo>
                                <a:pt x="0" y="0"/>
                              </a:lnTo>
                              <a:lnTo>
                                <a:pt x="0" y="2609850"/>
                              </a:lnTo>
                              <a:lnTo>
                                <a:pt x="0" y="8096250"/>
                              </a:lnTo>
                              <a:lnTo>
                                <a:pt x="0" y="10706087"/>
                              </a:lnTo>
                              <a:lnTo>
                                <a:pt x="2571737" y="10706087"/>
                              </a:lnTo>
                              <a:lnTo>
                                <a:pt x="2571737" y="8096250"/>
                              </a:lnTo>
                              <a:lnTo>
                                <a:pt x="2571737" y="2609850"/>
                              </a:lnTo>
                              <a:lnTo>
                                <a:pt x="257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5pt;width:202.5pt;height:843pt;mso-position-horizontal-relative:page;mso-position-vertical-relative:page;z-index:15730688" id="docshape10" coordorigin="0,0" coordsize="4050,16860" path="m4050,0l0,0,0,4110,0,12750,0,16860,4050,16860,4050,12750,4050,4110,4050,0xe" filled="true" fillcolor="#424242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ind w:left="3730"/>
      </w:pPr>
      <w:r>
        <w:rPr>
          <w:w w:val="105"/>
        </w:rPr>
        <w:t>B.A.</w:t>
      </w:r>
      <w:r>
        <w:rPr>
          <w:spacing w:val="10"/>
          <w:w w:val="105"/>
        </w:rPr>
        <w:t> </w:t>
      </w:r>
      <w:r>
        <w:rPr>
          <w:w w:val="105"/>
        </w:rPr>
        <w:t>Political</w:t>
      </w:r>
      <w:r>
        <w:rPr>
          <w:spacing w:val="10"/>
          <w:w w:val="105"/>
        </w:rPr>
        <w:t> </w:t>
      </w:r>
      <w:r>
        <w:rPr>
          <w:w w:val="105"/>
        </w:rPr>
        <w:t>Science,</w:t>
      </w:r>
      <w:r>
        <w:rPr>
          <w:spacing w:val="11"/>
          <w:w w:val="105"/>
        </w:rPr>
        <w:t> </w:t>
      </w:r>
      <w:r>
        <w:rPr>
          <w:w w:val="105"/>
        </w:rPr>
        <w:t>UC</w:t>
      </w:r>
      <w:r>
        <w:rPr>
          <w:spacing w:val="9"/>
          <w:w w:val="105"/>
        </w:rPr>
        <w:t> </w:t>
      </w:r>
      <w:r>
        <w:rPr>
          <w:w w:val="105"/>
        </w:rPr>
        <w:t>San</w:t>
      </w:r>
      <w:r>
        <w:rPr>
          <w:spacing w:val="9"/>
          <w:w w:val="105"/>
        </w:rPr>
        <w:t> </w:t>
      </w:r>
      <w:r>
        <w:rPr>
          <w:w w:val="105"/>
        </w:rPr>
        <w:t>Diego,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2010</w:t>
      </w:r>
    </w:p>
    <w:sectPr>
      <w:pgSz w:w="11920" w:h="16860"/>
      <w:pgMar w:top="0" w:bottom="0" w:left="566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5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3945" w:right="326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anor.whitfield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2026-06-29T18:10:21Z</dcterms:created>
  <dcterms:modified xsi:type="dcterms:W3CDTF">2026-06-29T18:10:21Z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2026-06-29T00:00:00Z</vt:filetime>
  </property>
  <property fmtid="{D5CDD505-2E9C-101B-9397-08002B2CF9AE}" pid="5" name="Producer">
    <vt:lpwstr>pdf-merger-js</vt:lpwstr>
  </property>
</Properties>
</file>