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RENEE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CALDWELL</w:t>
      </w:r>
    </w:p>
    <w:p>
      <w:pPr>
        <w:pStyle w:val="Heading1"/>
      </w:pPr>
      <w:r>
        <w:rPr>
          <w:color w:val="FFFFFF"/>
        </w:rPr>
        <w:t>Lead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Phlebotomist</w:t>
      </w:r>
    </w:p>
    <w:p>
      <w:pPr>
        <w:spacing w:line="273" w:lineRule="auto" w:before="193"/>
        <w:ind w:left="590" w:right="445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Lead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phlebotomist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11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acute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care,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mobile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draw,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donor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collections.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difﬁcult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sticks,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blood</w:t>
      </w:r>
      <w:r>
        <w:rPr>
          <w:color w:val="FFFFFF"/>
          <w:spacing w:val="-1"/>
          <w:w w:val="105"/>
          <w:sz w:val="16"/>
        </w:rPr>
        <w:t> </w:t>
      </w:r>
      <w:r>
        <w:rPr>
          <w:color w:val="FFFFFF"/>
          <w:w w:val="105"/>
          <w:sz w:val="16"/>
        </w:rPr>
        <w:t>culture contamination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reduction,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training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new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techs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ﬂoor.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schedule,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QC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binder,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JCAHO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walk-</w:t>
      </w:r>
      <w:r>
        <w:rPr>
          <w:color w:val="FFFFFF"/>
          <w:spacing w:val="-2"/>
          <w:w w:val="105"/>
          <w:sz w:val="16"/>
        </w:rPr>
        <w:t>through.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0"/>
        <w:ind w:left="0" w:right="1209"/>
        <w:jc w:val="right"/>
      </w:pPr>
      <w:r>
        <w:rPr>
          <w:color w:val="6DCBCB"/>
        </w:rPr>
        <w:t>Contact</w:t>
      </w:r>
      <w:r>
        <w:rPr>
          <w:color w:val="6DCBCB"/>
          <w:spacing w:val="49"/>
        </w:rPr>
        <w:t> </w:t>
      </w:r>
      <w:r>
        <w:rPr>
          <w:color w:val="6DCBCB"/>
          <w:spacing w:val="-2"/>
        </w:rPr>
        <w:t>Information</w:t>
      </w:r>
    </w:p>
    <w:p>
      <w:pPr>
        <w:pStyle w:val="BodyText"/>
        <w:spacing w:before="46"/>
        <w:rPr>
          <w:sz w:val="22"/>
        </w:rPr>
      </w:pPr>
    </w:p>
    <w:p>
      <w:pPr>
        <w:pStyle w:val="BodyText"/>
        <w:ind w:right="1200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(216) 555-0173</w:t>
      </w:r>
    </w:p>
    <w:p>
      <w:pPr>
        <w:pStyle w:val="BodyText"/>
        <w:spacing w:before="89"/>
      </w:pPr>
    </w:p>
    <w:p>
      <w:pPr>
        <w:pStyle w:val="BodyText"/>
        <w:spacing w:line="278" w:lineRule="auto"/>
        <w:ind w:left="795" w:right="17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59764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renee.caldwell@example.co</w:t>
        </w:r>
      </w:hyperlink>
      <w:r>
        <w:rPr>
          <w:color w:val="424242"/>
          <w:spacing w:val="8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line="586" w:lineRule="exact" w:before="30"/>
        <w:ind w:left="346"/>
      </w:pPr>
      <w:r>
        <w:rPr>
          <w:position w:val="-5"/>
        </w:rPr>
        <w:drawing>
          <wp:inline distT="0" distB="0" distL="0" distR="0">
            <wp:extent cx="165273" cy="14310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73" cy="14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424242"/>
          <w:w w:val="105"/>
        </w:rPr>
        <w:t>linkedin.com/in/reneecaldwell </w:t>
      </w:r>
      <w:r>
        <w:rPr>
          <w:color w:val="424242"/>
          <w:position w:val="-6"/>
        </w:rPr>
        <w:drawing>
          <wp:inline distT="0" distB="0" distL="0" distR="0">
            <wp:extent cx="165334" cy="16192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24242"/>
          <w:position w:val="-6"/>
        </w:rPr>
      </w:r>
      <w:r>
        <w:rPr>
          <w:rFonts w:ascii="Times New Roman"/>
          <w:color w:val="424242"/>
          <w:spacing w:val="80"/>
          <w:w w:val="105"/>
        </w:rPr>
        <w:t> </w:t>
      </w:r>
      <w:r>
        <w:rPr>
          <w:color w:val="424242"/>
          <w:w w:val="105"/>
        </w:rPr>
        <w:t>Cleveland, OH</w:t>
      </w:r>
    </w:p>
    <w:p>
      <w:pPr>
        <w:pStyle w:val="BodyText"/>
        <w:spacing w:before="23"/>
      </w:pPr>
    </w:p>
    <w:p>
      <w:pPr>
        <w:pStyle w:val="Heading2"/>
      </w:pPr>
      <w:r>
        <w:rPr>
          <w:color w:val="6DCBCB"/>
          <w:spacing w:val="-2"/>
        </w:rPr>
        <w:t>Education</w:t>
      </w:r>
    </w:p>
    <w:p>
      <w:pPr>
        <w:spacing w:before="65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line="268" w:lineRule="auto"/>
        <w:ind w:left="51" w:right="45"/>
      </w:pPr>
      <w:r>
        <w:rPr/>
        <w:t>LEAD PHLEBOTOMIST, INPATIENT LAB </w:t>
      </w:r>
      <w:r>
        <w:rPr>
          <w:position w:val="2"/>
        </w:rPr>
        <w:t>| </w:t>
      </w:r>
      <w:r>
        <w:rPr/>
        <w:t>LAKEVIEW MEMORIAL HOSPITAL | CLEVELAND, OH | 2020-PRESENT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23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a team of 9 phlebotomists across 24/7 coverage for a 410-bed acute care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hospital.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9" w:after="0"/>
        <w:ind w:left="590" w:right="97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 blood culture contamination rate from 3.1% to 1.4% over 8 months through diversion device rollout and re-training.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34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daily route assignments so morning rounds finish by 7:30 a.m. for AM rounds; lab TAT complaints from nursing dropped sharply.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97" w:after="0"/>
        <w:ind w:left="590" w:right="466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QC documentation for centrifuges, refrigerators, and POC glucometers; passed the last 2 CAP inspections with no phlebotomy findings.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317" w:space="365"/>
            <w:col w:w="7672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40" w:lineRule="auto" w:before="104" w:after="0"/>
        <w:ind w:left="644" w:right="0" w:hanging="296"/>
        <w:jc w:val="left"/>
        <w:rPr>
          <w:position w:val="-4"/>
          <w:sz w:val="31"/>
        </w:rPr>
      </w:pPr>
      <w:r>
        <w:rPr>
          <w:sz w:val="18"/>
        </w:rPr>
        <w:t>Phlebotomy</w:t>
      </w:r>
      <w:r>
        <w:rPr>
          <w:spacing w:val="57"/>
          <w:sz w:val="18"/>
        </w:rPr>
        <w:t> </w:t>
      </w:r>
      <w:r>
        <w:rPr>
          <w:sz w:val="18"/>
        </w:rPr>
        <w:t>Technician</w:t>
      </w:r>
      <w:r>
        <w:rPr>
          <w:spacing w:val="58"/>
          <w:sz w:val="18"/>
        </w:rPr>
        <w:t> </w:t>
      </w:r>
      <w:r>
        <w:rPr>
          <w:spacing w:val="-4"/>
          <w:sz w:val="18"/>
        </w:rPr>
        <w:t>(PBT)</w:t>
      </w:r>
    </w:p>
    <w:p>
      <w:pPr>
        <w:pStyle w:val="BodyText"/>
        <w:spacing w:before="33"/>
      </w:pPr>
    </w:p>
    <w:p>
      <w:pPr>
        <w:pStyle w:val="BodyText"/>
        <w:spacing w:line="278" w:lineRule="auto"/>
        <w:ind w:left="646" w:right="82"/>
      </w:pPr>
      <w:r>
        <w:rPr>
          <w:w w:val="105"/>
        </w:rPr>
        <w:t>American Society for Clinical Pathology (ASCP), 2014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9" w:after="0"/>
        <w:ind w:left="888" w:right="3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Manage scheduling, PTO, and competency check-offs for the team in Kronos and the LIS competency module.</w:t>
      </w:r>
    </w:p>
    <w:p>
      <w:pPr>
        <w:pStyle w:val="BodyText"/>
        <w:spacing w:before="78"/>
      </w:pPr>
    </w:p>
    <w:p>
      <w:pPr>
        <w:pStyle w:val="BodyText"/>
        <w:spacing w:line="268" w:lineRule="auto"/>
        <w:ind w:left="349" w:right="61"/>
      </w:pPr>
      <w:r>
        <w:rPr/>
        <w:t>SENIOR PHLEBOTOMY TECHNICIAN </w:t>
      </w:r>
      <w:r>
        <w:rPr>
          <w:position w:val="2"/>
        </w:rPr>
        <w:t>| </w:t>
      </w:r>
      <w:r>
        <w:rPr/>
        <w:t>CUYAHOGA COMMUNITY HEALTH NETWORK |</w:t>
      </w:r>
      <w:r>
        <w:rPr>
          <w:spacing w:val="40"/>
        </w:rPr>
        <w:t> </w:t>
      </w:r>
      <w:r>
        <w:rPr/>
        <w:t>CLEVELAND, OH | 2017-2020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3222" w:space="164"/>
            <w:col w:w="7968"/>
          </w:cols>
        </w:sectPr>
      </w:pPr>
    </w:p>
    <w:p>
      <w:pPr>
        <w:pStyle w:val="BodyText"/>
        <w:spacing w:before="127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Associate of Applied Science, Medical Laboratory</w:t>
      </w:r>
    </w:p>
    <w:p>
      <w:pPr>
        <w:pStyle w:val="BodyText"/>
        <w:spacing w:before="25"/>
        <w:ind w:left="646"/>
      </w:pPr>
      <w:r>
        <w:rPr>
          <w:spacing w:val="-2"/>
          <w:w w:val="105"/>
        </w:rPr>
        <w:t>Technology</w:t>
      </w:r>
    </w:p>
    <w:p>
      <w:pPr>
        <w:pStyle w:val="BodyText"/>
        <w:spacing w:before="126"/>
      </w:pPr>
    </w:p>
    <w:p>
      <w:pPr>
        <w:pStyle w:val="BodyText"/>
        <w:spacing w:line="261" w:lineRule="auto"/>
        <w:ind w:left="646" w:right="101"/>
      </w:pPr>
      <w:r>
        <w:rPr>
          <w:w w:val="105"/>
        </w:rPr>
        <w:t>Cuyahoga Community College, 2013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BLS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Healthcare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Providers</w:t>
      </w:r>
    </w:p>
    <w:p>
      <w:pPr>
        <w:pStyle w:val="BodyText"/>
        <w:spacing w:before="34"/>
      </w:pPr>
    </w:p>
    <w:p>
      <w:pPr>
        <w:pStyle w:val="BodyText"/>
        <w:spacing w:line="278" w:lineRule="auto"/>
        <w:ind w:left="646"/>
      </w:pPr>
      <w:r>
        <w:rPr>
          <w:w w:val="105"/>
        </w:rPr>
        <w:t>American Heart Association (current through 2026)</w:t>
      </w:r>
    </w:p>
    <w:p>
      <w:pPr>
        <w:pStyle w:val="BodyText"/>
        <w:spacing w:before="19"/>
      </w:pPr>
      <w:r>
        <w:rPr/>
        <w:br w:type="column"/>
      </w:r>
      <w:r>
        <w:rPr/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0" w:after="0"/>
        <w:ind w:left="888" w:right="3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Covered 5 outpatient clinics on a rotating schedule, drawing 50 to 70 patients per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day per site.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10" w:after="0"/>
        <w:ind w:left="888" w:right="39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14 new phlebotomists through a 4-week preceptor program with skills check-off at week 2 and week 4.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98" w:after="0"/>
        <w:ind w:left="888" w:right="12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Standardized the difficult stick escalation path so a second tech is paged after 2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attempts, cutting patient complaints about repeat sticks.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4" w:lineRule="auto" w:before="77" w:after="0"/>
        <w:ind w:left="888" w:right="50" w:hanging="298"/>
        <w:jc w:val="left"/>
        <w:rPr>
          <w:position w:val="-2"/>
          <w:sz w:val="31"/>
        </w:rPr>
      </w:pPr>
      <w:r>
        <w:rPr>
          <w:w w:val="105"/>
          <w:sz w:val="18"/>
        </w:rPr>
        <w:t>Ran the mobile draw van 1 day per week for senior living facilities across the east </w:t>
      </w:r>
      <w:r>
        <w:rPr>
          <w:spacing w:val="-2"/>
          <w:w w:val="105"/>
          <w:sz w:val="18"/>
        </w:rPr>
        <w:t>side.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8" w:after="0"/>
        <w:ind w:left="888" w:right="201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pilot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vein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finder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device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wrote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1-page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floor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guide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when to use it.</w:t>
      </w:r>
    </w:p>
    <w:p>
      <w:pPr>
        <w:pStyle w:val="BodyText"/>
        <w:spacing w:before="77"/>
      </w:pPr>
    </w:p>
    <w:p>
      <w:pPr>
        <w:pStyle w:val="BodyText"/>
        <w:spacing w:before="1"/>
        <w:ind w:left="349"/>
      </w:pPr>
      <w:r>
        <w:rPr/>
        <w:t>PHLEBOTOMIST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8"/>
          <w:position w:val="2"/>
        </w:rPr>
        <w:t> </w:t>
      </w:r>
      <w:r>
        <w:rPr/>
        <w:t>RIVERBEND</w:t>
      </w:r>
      <w:r>
        <w:rPr>
          <w:spacing w:val="19"/>
        </w:rPr>
        <w:t> </w:t>
      </w:r>
      <w:r>
        <w:rPr/>
        <w:t>PLASMA</w:t>
      </w:r>
      <w:r>
        <w:rPr>
          <w:spacing w:val="18"/>
        </w:rPr>
        <w:t> </w:t>
      </w:r>
      <w:r>
        <w:rPr/>
        <w:t>CENTER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AKRON,</w:t>
      </w:r>
      <w:r>
        <w:rPr>
          <w:spacing w:val="18"/>
        </w:rPr>
        <w:t> </w:t>
      </w:r>
      <w:r>
        <w:rPr/>
        <w:t>OH</w:t>
      </w:r>
      <w:r>
        <w:rPr>
          <w:spacing w:val="19"/>
        </w:rPr>
        <w:t> </w:t>
      </w:r>
      <w:r>
        <w:rPr/>
        <w:t>|</w:t>
      </w:r>
      <w:r>
        <w:rPr>
          <w:spacing w:val="18"/>
        </w:rPr>
        <w:t> </w:t>
      </w:r>
      <w:r>
        <w:rPr/>
        <w:t>2014-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291" w:space="94"/>
            <w:col w:w="7969"/>
          </w:cols>
        </w:sectPr>
      </w:pPr>
    </w:p>
    <w:p>
      <w:pPr>
        <w:pStyle w:val="BodyText"/>
        <w:spacing w:before="243"/>
        <w:rPr>
          <w:sz w:val="22"/>
        </w:rPr>
      </w:pPr>
    </w:p>
    <w:p>
      <w:pPr>
        <w:pStyle w:val="Heading2"/>
        <w:spacing w:before="1"/>
      </w:pPr>
      <w:r>
        <w:rPr>
          <w:color w:val="6DCBCB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217" w:after="0"/>
        <w:ind w:left="459" w:right="0" w:hanging="110"/>
        <w:jc w:val="left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99" w:after="0"/>
        <w:ind w:left="459" w:right="0" w:hanging="110"/>
        <w:jc w:val="left"/>
        <w:rPr>
          <w:sz w:val="29"/>
        </w:rPr>
      </w:pP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4"/>
      </w:pPr>
      <w:r>
        <w:rPr>
          <w:w w:val="105"/>
        </w:rPr>
        <w:t>Team lead / scheduling (team of 9)</w:t>
      </w:r>
    </w:p>
    <w:p>
      <w:pPr>
        <w:pStyle w:val="BodyText"/>
        <w:spacing w:line="261" w:lineRule="auto" w:before="104"/>
        <w:ind w:left="4" w:right="139"/>
      </w:pPr>
      <w:r>
        <w:rPr>
          <w:w w:val="105"/>
        </w:rPr>
        <w:t>Blood culture contamination </w:t>
      </w:r>
      <w:r>
        <w:rPr>
          <w:spacing w:val="-2"/>
          <w:w w:val="105"/>
        </w:rPr>
        <w:t>reduction</w:t>
      </w:r>
    </w:p>
    <w:p>
      <w:pPr>
        <w:pStyle w:val="BodyText"/>
        <w:spacing w:before="24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347" w:val="left" w:leader="none"/>
          <w:tab w:pos="349" w:val="left" w:leader="none"/>
        </w:tabs>
        <w:spacing w:line="201" w:lineRule="auto" w:before="0" w:after="0"/>
        <w:ind w:left="349" w:right="232" w:hanging="298"/>
        <w:jc w:val="left"/>
        <w:rPr>
          <w:sz w:val="18"/>
        </w:rPr>
      </w:pPr>
      <w:r>
        <w:rPr>
          <w:w w:val="105"/>
          <w:sz w:val="18"/>
        </w:rPr>
        <w:t>Performed donor screening, vein assessment, and plasmapheresis hookups for 30 to 40 donors per shift.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336" w:lineRule="exact" w:before="58" w:after="0"/>
        <w:ind w:left="347" w:right="0" w:hanging="296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needle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stick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injury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floor.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  <w:tab w:pos="349" w:val="left" w:leader="none"/>
        </w:tabs>
        <w:spacing w:line="201" w:lineRule="auto" w:before="18" w:after="0"/>
        <w:ind w:left="349" w:right="545" w:hanging="298"/>
        <w:jc w:val="left"/>
        <w:rPr>
          <w:sz w:val="18"/>
        </w:rPr>
      </w:pPr>
      <w:r>
        <w:rPr>
          <w:w w:val="105"/>
          <w:sz w:val="18"/>
        </w:rPr>
        <w:t>Cross-trained on the front desk and SPE (sample processing) to cover gaps during high-volume Saturdays.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240" w:lineRule="auto" w:before="58" w:after="0"/>
        <w:ind w:left="347" w:right="0" w:hanging="296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donor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techs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50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sticks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company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protocol.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3" w:equalWidth="0">
            <w:col w:w="603" w:space="40"/>
            <w:col w:w="2564" w:space="718"/>
            <w:col w:w="7429"/>
          </w:cols>
        </w:sectPr>
      </w:pP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70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Difficult sticks, pediatrics, oncology access</w:t>
      </w:r>
    </w:p>
    <w:p>
      <w:pPr>
        <w:pStyle w:val="BodyText"/>
        <w:spacing w:before="137"/>
        <w:ind w:left="349"/>
      </w:pPr>
      <w:r>
        <w:rPr/>
        <w:br w:type="column"/>
      </w:r>
      <w:r>
        <w:rPr/>
        <w:t>PHLEBOTOMY</w:t>
      </w:r>
      <w:r>
        <w:rPr>
          <w:spacing w:val="22"/>
        </w:rPr>
        <w:t> </w:t>
      </w:r>
      <w:r>
        <w:rPr/>
        <w:t>TECHNICIAN</w:t>
      </w:r>
      <w:r>
        <w:rPr>
          <w:spacing w:val="22"/>
        </w:rPr>
        <w:t> </w:t>
      </w:r>
      <w:r>
        <w:rPr>
          <w:position w:val="2"/>
        </w:rPr>
        <w:t>|</w:t>
      </w:r>
      <w:r>
        <w:rPr>
          <w:spacing w:val="23"/>
          <w:position w:val="2"/>
        </w:rPr>
        <w:t> </w:t>
      </w:r>
      <w:r>
        <w:rPr/>
        <w:t>BUCKEYE</w:t>
      </w:r>
      <w:r>
        <w:rPr>
          <w:spacing w:val="22"/>
        </w:rPr>
        <w:t> </w:t>
      </w:r>
      <w:r>
        <w:rPr/>
        <w:t>URGENT</w:t>
      </w:r>
      <w:r>
        <w:rPr>
          <w:spacing w:val="23"/>
        </w:rPr>
        <w:t> </w:t>
      </w:r>
      <w:r>
        <w:rPr/>
        <w:t>CARE</w:t>
      </w:r>
      <w:r>
        <w:rPr>
          <w:spacing w:val="22"/>
        </w:rPr>
        <w:t> </w:t>
      </w:r>
      <w:r>
        <w:rPr/>
        <w:t>|</w:t>
      </w:r>
      <w:r>
        <w:rPr>
          <w:spacing w:val="23"/>
        </w:rPr>
        <w:t> </w:t>
      </w:r>
      <w:r>
        <w:rPr/>
        <w:t>LORAIN,</w:t>
      </w:r>
      <w:r>
        <w:rPr>
          <w:spacing w:val="22"/>
        </w:rPr>
        <w:t> </w:t>
      </w:r>
      <w:r>
        <w:rPr/>
        <w:t>OH</w:t>
      </w:r>
      <w:r>
        <w:rPr>
          <w:spacing w:val="23"/>
        </w:rPr>
        <w:t> </w:t>
      </w:r>
      <w:r>
        <w:rPr/>
        <w:t>|</w:t>
      </w:r>
      <w:r>
        <w:rPr>
          <w:spacing w:val="22"/>
        </w:rPr>
        <w:t> </w:t>
      </w:r>
      <w:r>
        <w:rPr/>
        <w:t>2013-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915" w:space="470"/>
            <w:col w:w="7969"/>
          </w:cols>
        </w:sectPr>
      </w:pP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200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BC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00299" y="2419349"/>
                            <a:ext cx="5168265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962900">
                                <a:moveTo>
                                  <a:pt x="5167883" y="7962899"/>
                                </a:moveTo>
                                <a:lnTo>
                                  <a:pt x="0" y="79628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BC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8272" id="docshapegroup1" coordorigin="0,0" coordsize="11919,16858">
                <v:rect style="position:absolute;left:3773;top:16350;width:8146;height:508" id="docshape2" filled="true" fillcolor="#6dcbcb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2540" id="docshape4" filled="true" fillcolor="#6dcbcb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Mobile and donor (plasmapheresis) collections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10" w:after="0"/>
        <w:ind w:left="646" w:right="335" w:hanging="298"/>
        <w:jc w:val="left"/>
        <w:rPr>
          <w:sz w:val="18"/>
        </w:rPr>
      </w:pPr>
      <w:r>
        <w:rPr>
          <w:w w:val="105"/>
          <w:sz w:val="18"/>
        </w:rPr>
        <w:t>CAP and Joint Commission </w:t>
      </w:r>
      <w:r>
        <w:rPr>
          <w:spacing w:val="-2"/>
          <w:w w:val="105"/>
          <w:sz w:val="18"/>
        </w:rPr>
        <w:t>readiness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240" w:lineRule="auto" w:before="59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Epic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Beaker,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Cerner,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Sunquest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79" w:after="0"/>
        <w:ind w:left="646" w:right="44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Drew patients at a walk-in urgent care alongside running rapid strep, flu,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urine dips.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10" w:after="0"/>
        <w:ind w:left="646" w:right="486" w:hanging="298"/>
        <w:jc w:val="left"/>
        <w:rPr>
          <w:sz w:val="18"/>
        </w:rPr>
      </w:pPr>
      <w:r>
        <w:rPr>
          <w:w w:val="105"/>
          <w:sz w:val="18"/>
        </w:rPr>
        <w:t>Maintained chain-of-custody for occupational health drug screens for 6 local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employers.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332" w:space="295"/>
            <w:col w:w="7727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283" w:right="283"/>
        </w:sectPr>
      </w:pP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139" w:after="0"/>
        <w:ind w:left="646" w:right="173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BC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285875">
                                <a:moveTo>
                                  <a:pt x="5167883" y="1285874"/>
                                </a:moveTo>
                                <a:lnTo>
                                  <a:pt x="0" y="12858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285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225" y="323849"/>
                            <a:ext cx="5168265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285875">
                                <a:moveTo>
                                  <a:pt x="5167883" y="1285874"/>
                                </a:moveTo>
                                <a:lnTo>
                                  <a:pt x="0" y="12858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285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BC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797248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6dcbcb" stroked="false">
                  <v:path arrowok="t"/>
                  <v:fill opacity="32899f" type="solid"/>
                </v:shape>
                <v:rect style="position:absolute;left:3780;top:510;width:8139;height:2025" id="docshape7" filled="true" fillcolor="#ffffff" stroked="false">
                  <v:fill type="solid"/>
                </v:rect>
                <v:rect style="position:absolute;left:3780;top:510;width:8139;height:2025" id="docshape8" filled="true" fillcolor="#6dcbcb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Preceptor and competency </w:t>
      </w:r>
      <w:r>
        <w:rPr>
          <w:spacing w:val="-2"/>
          <w:w w:val="105"/>
          <w:sz w:val="18"/>
        </w:rPr>
        <w:t>check-offs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515" w:hanging="298"/>
        <w:jc w:val="left"/>
        <w:rPr>
          <w:sz w:val="18"/>
        </w:rPr>
      </w:pPr>
      <w:r>
        <w:rPr>
          <w:w w:val="105"/>
          <w:sz w:val="18"/>
        </w:rPr>
        <w:t>QC documentation and instrument logs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240" w:lineRule="auto" w:before="58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Vein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finder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device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evaluation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139" w:after="0"/>
        <w:ind w:left="646" w:right="14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Closed the lab nightly: QC logs, instrument shutdown, and specimen drop to the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courier.</w:t>
      </w:r>
    </w:p>
    <w:sectPr>
      <w:type w:val="continuous"/>
      <w:pgSz w:w="11920" w:h="16860"/>
      <w:pgMar w:top="820" w:bottom="280" w:left="283" w:right="283"/>
      <w:cols w:num="2" w:equalWidth="0">
        <w:col w:w="3178" w:space="449"/>
        <w:col w:w="77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7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6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43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0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6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1" w:right="8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renee.caldwell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2026-06-19T19:13:00Z</dcterms:created>
  <dcterms:modified xsi:type="dcterms:W3CDTF">2026-06-19T19:13:00Z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2026-06-19T00:00:00Z</vt:filetime>
  </property>
  <property fmtid="{D5CDD505-2E9C-101B-9397-08002B2CF9AE}" pid="5" name="Producer">
    <vt:lpwstr>pdf-merger-js</vt:lpwstr>
  </property>
</Properties>
</file>