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908" w:lineRule="exact" w:before="0"/>
        <w:ind w:left="3893" w:right="0" w:firstLine="0"/>
        <w:jc w:val="center"/>
        <w:rPr>
          <w:sz w:val="83"/>
        </w:rPr>
      </w:pPr>
      <w:r>
        <w:rPr>
          <w:color w:val="134E5C"/>
          <w:spacing w:val="-2"/>
          <w:sz w:val="83"/>
        </w:rPr>
        <w:t>MARCUS</w:t>
      </w:r>
    </w:p>
    <w:p>
      <w:pPr>
        <w:spacing w:before="20"/>
        <w:ind w:left="3893" w:right="0" w:firstLine="0"/>
        <w:jc w:val="center"/>
        <w:rPr>
          <w:sz w:val="83"/>
        </w:rPr>
      </w:pPr>
      <w:r>
        <w:rPr>
          <w:color w:val="646464"/>
          <w:spacing w:val="-2"/>
          <w:sz w:val="83"/>
        </w:rPr>
        <w:t>WHITFIELD</w:t>
      </w:r>
    </w:p>
    <w:p>
      <w:pPr>
        <w:spacing w:before="162"/>
        <w:ind w:left="3893" w:right="0" w:firstLine="0"/>
        <w:jc w:val="center"/>
        <w:rPr>
          <w:sz w:val="20"/>
        </w:rPr>
      </w:pPr>
      <w:r>
        <w:rPr>
          <w:color w:val="134E5C"/>
          <w:sz w:val="20"/>
        </w:rPr>
        <w:t>AGPCNP-</w:t>
      </w:r>
      <w:r>
        <w:rPr>
          <w:color w:val="134E5C"/>
          <w:spacing w:val="-5"/>
          <w:sz w:val="20"/>
        </w:rPr>
        <w:t>BC</w:t>
      </w:r>
    </w:p>
    <w:p>
      <w:pPr>
        <w:pStyle w:val="BodyText"/>
        <w:spacing w:before="55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780" w:bottom="280" w:left="283" w:right="283"/>
        </w:sect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83"/>
        <w:ind w:left="0"/>
        <w:rPr>
          <w:sz w:val="24"/>
        </w:rPr>
      </w:pPr>
    </w:p>
    <w:p>
      <w:pPr>
        <w:pStyle w:val="Heading1"/>
        <w:spacing w:line="261" w:lineRule="auto"/>
      </w:pPr>
      <w:r>
        <w:rPr>
          <w:color w:val="134E5C"/>
          <w:spacing w:val="-2"/>
        </w:rPr>
        <w:t>CONTACT INFORMATION</w:t>
      </w:r>
    </w:p>
    <w:p>
      <w:pPr>
        <w:spacing w:before="201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(614)</w:t>
      </w:r>
      <w:r>
        <w:rPr>
          <w:color w:val="134E5C"/>
          <w:spacing w:val="10"/>
          <w:sz w:val="20"/>
        </w:rPr>
        <w:t> </w:t>
      </w:r>
      <w:r>
        <w:rPr>
          <w:color w:val="134E5C"/>
          <w:sz w:val="20"/>
        </w:rPr>
        <w:t>555-</w:t>
      </w:r>
      <w:r>
        <w:rPr>
          <w:color w:val="134E5C"/>
          <w:spacing w:val="-4"/>
          <w:sz w:val="20"/>
        </w:rPr>
        <w:t>0193</w:t>
      </w:r>
    </w:p>
    <w:p>
      <w:pPr>
        <w:spacing w:line="266" w:lineRule="auto" w:before="175"/>
        <w:ind w:left="740" w:right="0" w:firstLine="0"/>
        <w:jc w:val="left"/>
        <w:rPr>
          <w:sz w:val="20"/>
        </w:rPr>
      </w:pPr>
      <w:r>
        <w:rPr>
          <w:color w:val="134E5C"/>
          <w:spacing w:val="-2"/>
          <w:sz w:val="20"/>
        </w:rPr>
        <w:t>marcus.whitﬁeld@exa mple.com</w:t>
      </w:r>
    </w:p>
    <w:p>
      <w:pPr>
        <w:spacing w:line="292" w:lineRule="auto" w:before="70"/>
        <w:ind w:left="108" w:right="205" w:firstLine="0"/>
        <w:jc w:val="center"/>
        <w:rPr>
          <w:sz w:val="20"/>
        </w:rPr>
      </w:pPr>
      <w:r>
        <w:rPr/>
        <w:br w:type="column"/>
      </w:r>
      <w:r>
        <w:rPr>
          <w:color w:val="FFFFFF"/>
          <w:sz w:val="20"/>
        </w:rPr>
        <w:t>New Adult-Gerontology Primary Care NP with 10 months of post-licensure practice and 8 years of prior RN experience in cardiac step-down.</w:t>
      </w:r>
      <w:r>
        <w:rPr>
          <w:color w:val="FFFFFF"/>
          <w:spacing w:val="40"/>
          <w:sz w:val="20"/>
        </w:rPr>
        <w:t> </w:t>
      </w:r>
      <w:r>
        <w:rPr>
          <w:color w:val="FFFFFF"/>
          <w:sz w:val="20"/>
        </w:rPr>
        <w:t>Comfortable with HF, COPD, AFib, and polypharmacy in older adults.</w:t>
      </w:r>
      <w:r>
        <w:rPr>
          <w:color w:val="FFFFFF"/>
          <w:spacing w:val="80"/>
          <w:sz w:val="20"/>
        </w:rPr>
        <w:t> </w:t>
      </w:r>
      <w:r>
        <w:rPr>
          <w:color w:val="FFFFFF"/>
          <w:sz w:val="20"/>
        </w:rPr>
        <w:t>Looking for an outpatient role with structured onboarding and a focus on</w:t>
      </w:r>
      <w:r>
        <w:rPr>
          <w:color w:val="FFFFFF"/>
          <w:spacing w:val="40"/>
          <w:sz w:val="20"/>
        </w:rPr>
        <w:t> </w:t>
      </w:r>
      <w:r>
        <w:rPr>
          <w:color w:val="FFFFFF"/>
          <w:sz w:val="20"/>
        </w:rPr>
        <w:t>geriatric primary care.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35"/>
        <w:ind w:left="0"/>
        <w:rPr>
          <w:sz w:val="20"/>
        </w:rPr>
      </w:pPr>
    </w:p>
    <w:p>
      <w:pPr>
        <w:pStyle w:val="Heading1"/>
        <w:ind w:left="338"/>
      </w:pPr>
      <w:r>
        <w:rPr>
          <w:color w:val="134E5C"/>
          <w:spacing w:val="-2"/>
        </w:rPr>
        <w:t>PROFESSIONAL</w:t>
      </w:r>
      <w:r>
        <w:rPr>
          <w:color w:val="134E5C"/>
          <w:spacing w:val="4"/>
        </w:rPr>
        <w:t> </w:t>
      </w:r>
      <w:r>
        <w:rPr>
          <w:color w:val="134E5C"/>
          <w:spacing w:val="-2"/>
        </w:rPr>
        <w:t>EXPERIENCE</w:t>
      </w:r>
    </w:p>
    <w:p>
      <w:pPr>
        <w:spacing w:line="280" w:lineRule="auto" w:before="152"/>
        <w:ind w:left="338" w:right="59" w:firstLine="0"/>
        <w:jc w:val="left"/>
        <w:rPr>
          <w:sz w:val="20"/>
        </w:rPr>
      </w:pPr>
      <w:r>
        <w:rPr>
          <w:sz w:val="20"/>
        </w:rPr>
        <w:t>Adult-Gerontology Nurse Practitioner </w:t>
      </w:r>
      <w:r>
        <w:rPr>
          <w:color w:val="134E5C"/>
          <w:sz w:val="20"/>
        </w:rPr>
        <w:t>| Northstar Internal Medicine, Columbus, </w:t>
      </w:r>
      <w:r>
        <w:rPr>
          <w:color w:val="134E5C"/>
          <w:spacing w:val="-6"/>
          <w:sz w:val="20"/>
        </w:rPr>
        <w:t>OH</w:t>
      </w:r>
    </w:p>
    <w:p>
      <w:pPr>
        <w:pStyle w:val="BodyText"/>
        <w:spacing w:line="198" w:lineRule="exact"/>
        <w:ind w:left="338"/>
      </w:pPr>
      <w:r>
        <w:rPr>
          <w:color w:val="134E5C"/>
          <w:w w:val="105"/>
        </w:rPr>
        <w:t>February</w:t>
      </w:r>
      <w:r>
        <w:rPr>
          <w:color w:val="134E5C"/>
          <w:spacing w:val="-12"/>
          <w:w w:val="105"/>
        </w:rPr>
        <w:t> </w:t>
      </w:r>
      <w:r>
        <w:rPr>
          <w:color w:val="134E5C"/>
          <w:w w:val="105"/>
        </w:rPr>
        <w:t>2024</w:t>
      </w:r>
      <w:r>
        <w:rPr>
          <w:color w:val="134E5C"/>
          <w:spacing w:val="-11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11"/>
          <w:w w:val="105"/>
        </w:rPr>
        <w:t> </w:t>
      </w:r>
      <w:r>
        <w:rPr>
          <w:color w:val="134E5C"/>
          <w:spacing w:val="-2"/>
          <w:w w:val="105"/>
        </w:rPr>
        <w:t>Present</w:t>
      </w:r>
    </w:p>
    <w:p>
      <w:pPr>
        <w:pStyle w:val="BodyText"/>
        <w:spacing w:after="0" w:line="198" w:lineRule="exact"/>
        <w:sectPr>
          <w:type w:val="continuous"/>
          <w:pgSz w:w="11920" w:h="16860"/>
          <w:pgMar w:top="780" w:bottom="280" w:left="283" w:right="283"/>
          <w:cols w:num="2" w:equalWidth="0">
            <w:col w:w="2784" w:space="1005"/>
            <w:col w:w="7565"/>
          </w:cols>
        </w:sectPr>
      </w:pPr>
    </w:p>
    <w:p>
      <w:pPr>
        <w:spacing w:line="266" w:lineRule="auto" w:before="74"/>
        <w:ind w:left="740" w:right="0" w:firstLine="0"/>
        <w:jc w:val="left"/>
        <w:rPr>
          <w:sz w:val="20"/>
        </w:rPr>
      </w:pPr>
      <w:r>
        <w:rPr>
          <w:color w:val="134E5C"/>
          <w:spacing w:val="-2"/>
          <w:sz w:val="20"/>
        </w:rPr>
        <w:t>Linkedin.com/in/mwhitﬁeld-</w:t>
      </w:r>
      <w:r>
        <w:rPr>
          <w:color w:val="134E5C"/>
          <w:spacing w:val="-6"/>
          <w:sz w:val="20"/>
        </w:rPr>
        <w:t>np</w:t>
      </w:r>
    </w:p>
    <w:p>
      <w:pPr>
        <w:spacing w:before="149"/>
        <w:ind w:left="740" w:right="0" w:firstLine="0"/>
        <w:jc w:val="left"/>
        <w:rPr>
          <w:sz w:val="20"/>
        </w:rPr>
      </w:pPr>
      <w:r>
        <w:rPr>
          <w:color w:val="134E5C"/>
          <w:sz w:val="20"/>
        </w:rPr>
        <w:t>Columbus,</w:t>
      </w:r>
      <w:r>
        <w:rPr>
          <w:color w:val="134E5C"/>
          <w:spacing w:val="12"/>
          <w:sz w:val="20"/>
        </w:rPr>
        <w:t> </w:t>
      </w:r>
      <w:r>
        <w:rPr>
          <w:color w:val="134E5C"/>
          <w:spacing w:val="-7"/>
          <w:sz w:val="20"/>
        </w:rPr>
        <w:t>OH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58"/>
        <w:ind w:left="0"/>
        <w:rPr>
          <w:sz w:val="20"/>
        </w:rPr>
      </w:pPr>
    </w:p>
    <w:p>
      <w:pPr>
        <w:pStyle w:val="Heading1"/>
      </w:pPr>
      <w:r>
        <w:rPr>
          <w:color w:val="134E5C"/>
        </w:rPr>
        <w:t>KEY</w:t>
      </w:r>
      <w:r>
        <w:rPr>
          <w:color w:val="134E5C"/>
          <w:spacing w:val="-6"/>
        </w:rPr>
        <w:t> </w:t>
      </w:r>
      <w:r>
        <w:rPr>
          <w:color w:val="134E5C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40" w:lineRule="auto" w:before="215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Geriatric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primary</w:t>
      </w:r>
      <w:r>
        <w:rPr>
          <w:color w:val="134E5C"/>
          <w:spacing w:val="-9"/>
          <w:w w:val="105"/>
          <w:sz w:val="18"/>
        </w:rPr>
        <w:t> </w:t>
      </w:r>
      <w:r>
        <w:rPr>
          <w:color w:val="134E5C"/>
          <w:spacing w:val="-4"/>
          <w:w w:val="105"/>
          <w:sz w:val="18"/>
        </w:rPr>
        <w:t>care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61" w:lineRule="auto" w:before="113" w:after="0"/>
        <w:ind w:left="591" w:right="822" w:hanging="298"/>
        <w:jc w:val="left"/>
        <w:rPr>
          <w:sz w:val="18"/>
        </w:rPr>
      </w:pPr>
      <w:r>
        <w:rPr>
          <w:color w:val="134E5C"/>
          <w:w w:val="105"/>
          <w:position w:val="1"/>
          <w:sz w:val="18"/>
        </w:rPr>
        <w:t>Heart</w:t>
      </w:r>
      <w:r>
        <w:rPr>
          <w:color w:val="134E5C"/>
          <w:spacing w:val="-14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failure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and</w:t>
      </w:r>
      <w:r>
        <w:rPr>
          <w:color w:val="134E5C"/>
          <w:spacing w:val="-13"/>
          <w:w w:val="105"/>
          <w:position w:val="1"/>
          <w:sz w:val="18"/>
        </w:rPr>
        <w:t> </w:t>
      </w:r>
      <w:r>
        <w:rPr>
          <w:color w:val="134E5C"/>
          <w:w w:val="105"/>
          <w:position w:val="1"/>
          <w:sz w:val="18"/>
        </w:rPr>
        <w:t>AFib </w:t>
      </w:r>
      <w:r>
        <w:rPr>
          <w:color w:val="134E5C"/>
          <w:spacing w:val="-2"/>
          <w:w w:val="105"/>
          <w:sz w:val="18"/>
        </w:rPr>
        <w:t>management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</w:tabs>
        <w:spacing w:line="261" w:lineRule="auto" w:before="138" w:after="0"/>
        <w:ind w:left="759" w:right="517" w:hanging="298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Carry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developing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panel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of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about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320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patients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with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focus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on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adults</w:t>
      </w:r>
      <w:r>
        <w:rPr>
          <w:color w:val="134E5C"/>
          <w:spacing w:val="-4"/>
          <w:w w:val="105"/>
          <w:sz w:val="18"/>
        </w:rPr>
        <w:t> </w:t>
      </w:r>
      <w:r>
        <w:rPr>
          <w:color w:val="134E5C"/>
          <w:w w:val="105"/>
          <w:sz w:val="18"/>
        </w:rPr>
        <w:t>55+, scheduled at 16 visits per day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</w:tabs>
        <w:spacing w:line="278" w:lineRule="auto" w:before="103" w:after="0"/>
        <w:ind w:left="759" w:right="379" w:hanging="298"/>
        <w:jc w:val="left"/>
        <w:rPr>
          <w:sz w:val="18"/>
        </w:rPr>
      </w:pPr>
      <w:r>
        <w:rPr>
          <w:color w:val="134E5C"/>
          <w:w w:val="105"/>
          <w:sz w:val="18"/>
        </w:rPr>
        <w:t>Reduced</w:t>
      </w:r>
      <w:r>
        <w:rPr>
          <w:color w:val="134E5C"/>
          <w:spacing w:val="40"/>
          <w:w w:val="105"/>
          <w:sz w:val="18"/>
        </w:rPr>
        <w:t> </w:t>
      </w:r>
      <w:r>
        <w:rPr>
          <w:color w:val="134E5C"/>
          <w:w w:val="105"/>
          <w:sz w:val="18"/>
        </w:rPr>
        <w:t>potentially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inappropriate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medications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using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Beers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criteria</w:t>
      </w:r>
      <w:r>
        <w:rPr>
          <w:color w:val="134E5C"/>
          <w:spacing w:val="-3"/>
          <w:w w:val="105"/>
          <w:sz w:val="18"/>
        </w:rPr>
        <w:t> </w:t>
      </w:r>
      <w:r>
        <w:rPr>
          <w:color w:val="134E5C"/>
          <w:w w:val="105"/>
          <w:sz w:val="18"/>
        </w:rPr>
        <w:t>during AWVs,</w:t>
      </w:r>
      <w:r>
        <w:rPr>
          <w:color w:val="134E5C"/>
          <w:spacing w:val="40"/>
          <w:w w:val="105"/>
          <w:sz w:val="18"/>
        </w:rPr>
        <w:t> </w:t>
      </w:r>
      <w:r>
        <w:rPr>
          <w:color w:val="134E5C"/>
          <w:w w:val="105"/>
          <w:sz w:val="18"/>
        </w:rPr>
        <w:t>deprescribing at least one med in 4 of every 10 visits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</w:tabs>
        <w:spacing w:line="261" w:lineRule="auto" w:before="90" w:after="0"/>
        <w:ind w:left="759" w:right="176" w:hanging="298"/>
        <w:jc w:val="left"/>
        <w:rPr>
          <w:sz w:val="18"/>
        </w:rPr>
      </w:pPr>
      <w:r>
        <w:rPr>
          <w:color w:val="134E5C"/>
          <w:w w:val="105"/>
          <w:sz w:val="18"/>
        </w:rPr>
        <w:t>Run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weekly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anticoagulation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follow-up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block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warfarin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DOAC</w:t>
      </w:r>
      <w:r>
        <w:rPr>
          <w:color w:val="134E5C"/>
          <w:spacing w:val="-8"/>
          <w:w w:val="105"/>
          <w:sz w:val="18"/>
        </w:rPr>
        <w:t> </w:t>
      </w:r>
      <w:r>
        <w:rPr>
          <w:color w:val="134E5C"/>
          <w:w w:val="105"/>
          <w:sz w:val="18"/>
        </w:rPr>
        <w:t>patients with same-day INR review</w:t>
      </w:r>
    </w:p>
    <w:p>
      <w:pPr>
        <w:pStyle w:val="ListParagraph"/>
        <w:numPr>
          <w:ilvl w:val="1"/>
          <w:numId w:val="1"/>
        </w:numPr>
        <w:tabs>
          <w:tab w:pos="759" w:val="left" w:leader="none"/>
        </w:tabs>
        <w:spacing w:line="278" w:lineRule="auto" w:before="104" w:after="0"/>
        <w:ind w:left="759" w:right="527" w:hanging="298"/>
        <w:jc w:val="left"/>
        <w:rPr>
          <w:sz w:val="18"/>
        </w:rPr>
      </w:pPr>
      <w:r>
        <w:rPr>
          <w:color w:val="134E5C"/>
          <w:w w:val="105"/>
          <w:sz w:val="18"/>
        </w:rPr>
        <w:t>Complete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monthly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chart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audits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with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collaborating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physician;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ﬁrst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6-month audit returned no required corrections</w:t>
      </w:r>
    </w:p>
    <w:p>
      <w:pPr>
        <w:spacing w:before="116"/>
        <w:ind w:left="108" w:right="0" w:firstLine="0"/>
        <w:jc w:val="left"/>
        <w:rPr>
          <w:sz w:val="20"/>
        </w:rPr>
      </w:pPr>
      <w:r>
        <w:rPr>
          <w:sz w:val="20"/>
        </w:rPr>
        <w:t>Registered</w:t>
      </w:r>
      <w:r>
        <w:rPr>
          <w:spacing w:val="13"/>
          <w:sz w:val="20"/>
        </w:rPr>
        <w:t> </w:t>
      </w:r>
      <w:r>
        <w:rPr>
          <w:sz w:val="20"/>
        </w:rPr>
        <w:t>Nurse</w:t>
      </w:r>
      <w:r>
        <w:rPr>
          <w:spacing w:val="14"/>
          <w:sz w:val="20"/>
        </w:rPr>
        <w:t> </w:t>
      </w:r>
      <w:r>
        <w:rPr>
          <w:color w:val="134E5C"/>
          <w:sz w:val="20"/>
        </w:rPr>
        <w:t>|</w:t>
      </w:r>
      <w:r>
        <w:rPr>
          <w:color w:val="134E5C"/>
          <w:spacing w:val="13"/>
          <w:sz w:val="20"/>
        </w:rPr>
        <w:t> </w:t>
      </w:r>
      <w:r>
        <w:rPr>
          <w:color w:val="134E5C"/>
          <w:sz w:val="20"/>
        </w:rPr>
        <w:t>Cardiac</w:t>
      </w:r>
      <w:r>
        <w:rPr>
          <w:color w:val="134E5C"/>
          <w:spacing w:val="14"/>
          <w:sz w:val="20"/>
        </w:rPr>
        <w:t> </w:t>
      </w:r>
      <w:r>
        <w:rPr>
          <w:color w:val="134E5C"/>
          <w:sz w:val="20"/>
        </w:rPr>
        <w:t>Step-Down</w:t>
      </w:r>
      <w:r>
        <w:rPr>
          <w:color w:val="134E5C"/>
          <w:spacing w:val="14"/>
          <w:sz w:val="20"/>
        </w:rPr>
        <w:t> </w:t>
      </w:r>
      <w:r>
        <w:rPr>
          <w:color w:val="134E5C"/>
          <w:sz w:val="20"/>
        </w:rPr>
        <w:t>Mercy</w:t>
      </w:r>
      <w:r>
        <w:rPr>
          <w:color w:val="134E5C"/>
          <w:spacing w:val="13"/>
          <w:sz w:val="20"/>
        </w:rPr>
        <w:t> </w:t>
      </w:r>
      <w:r>
        <w:rPr>
          <w:color w:val="134E5C"/>
          <w:sz w:val="20"/>
        </w:rPr>
        <w:t>Heart</w:t>
      </w:r>
      <w:r>
        <w:rPr>
          <w:color w:val="134E5C"/>
          <w:spacing w:val="14"/>
          <w:sz w:val="20"/>
        </w:rPr>
        <w:t> </w:t>
      </w:r>
      <w:r>
        <w:rPr>
          <w:color w:val="134E5C"/>
          <w:sz w:val="20"/>
        </w:rPr>
        <w:t>Hospital,</w:t>
      </w:r>
      <w:r>
        <w:rPr>
          <w:color w:val="134E5C"/>
          <w:spacing w:val="14"/>
          <w:sz w:val="20"/>
        </w:rPr>
        <w:t> </w:t>
      </w:r>
      <w:r>
        <w:rPr>
          <w:color w:val="134E5C"/>
          <w:sz w:val="20"/>
        </w:rPr>
        <w:t>Columbus,</w:t>
      </w:r>
      <w:r>
        <w:rPr>
          <w:color w:val="134E5C"/>
          <w:spacing w:val="13"/>
          <w:sz w:val="20"/>
        </w:rPr>
        <w:t> </w:t>
      </w:r>
      <w:r>
        <w:rPr>
          <w:color w:val="134E5C"/>
          <w:spacing w:val="-5"/>
          <w:sz w:val="20"/>
        </w:rPr>
        <w:t>OH</w:t>
      </w:r>
    </w:p>
    <w:p>
      <w:pPr>
        <w:pStyle w:val="BodyText"/>
        <w:spacing w:before="29"/>
        <w:ind w:left="108"/>
      </w:pPr>
      <w:r>
        <w:rPr>
          <w:color w:val="134E5C"/>
          <w:w w:val="105"/>
        </w:rPr>
        <w:t>June</w:t>
      </w:r>
      <w:r>
        <w:rPr>
          <w:color w:val="134E5C"/>
          <w:spacing w:val="-11"/>
          <w:w w:val="105"/>
        </w:rPr>
        <w:t> </w:t>
      </w:r>
      <w:r>
        <w:rPr>
          <w:color w:val="134E5C"/>
          <w:w w:val="105"/>
        </w:rPr>
        <w:t>2016</w:t>
      </w:r>
      <w:r>
        <w:rPr>
          <w:color w:val="134E5C"/>
          <w:spacing w:val="-11"/>
          <w:w w:val="105"/>
        </w:rPr>
        <w:t> </w:t>
      </w:r>
      <w:r>
        <w:rPr>
          <w:color w:val="134E5C"/>
          <w:w w:val="105"/>
        </w:rPr>
        <w:t>-</w:t>
      </w:r>
      <w:r>
        <w:rPr>
          <w:color w:val="134E5C"/>
          <w:spacing w:val="-11"/>
          <w:w w:val="105"/>
        </w:rPr>
        <w:t> </w:t>
      </w:r>
      <w:r>
        <w:rPr>
          <w:color w:val="134E5C"/>
          <w:w w:val="105"/>
        </w:rPr>
        <w:t>January</w:t>
      </w:r>
      <w:r>
        <w:rPr>
          <w:color w:val="134E5C"/>
          <w:spacing w:val="-11"/>
          <w:w w:val="105"/>
        </w:rPr>
        <w:t> </w:t>
      </w:r>
      <w:r>
        <w:rPr>
          <w:color w:val="134E5C"/>
          <w:spacing w:val="-4"/>
          <w:w w:val="105"/>
        </w:rPr>
        <w:t>2024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283"/>
          <w:cols w:num="2" w:equalWidth="0">
            <w:col w:w="3235" w:space="783"/>
            <w:col w:w="7336"/>
          </w:cols>
        </w:sectPr>
      </w:pP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40" w:lineRule="auto" w:before="78" w:after="0"/>
        <w:ind w:left="591" w:right="0" w:hanging="297"/>
        <w:jc w:val="left"/>
        <w:rPr>
          <w:sz w:val="18"/>
        </w:rPr>
      </w:pPr>
      <w:r>
        <w:rPr>
          <w:color w:val="134E5C"/>
          <w:spacing w:val="-2"/>
          <w:w w:val="105"/>
          <w:sz w:val="18"/>
        </w:rPr>
        <w:t>Anticoagulation</w:t>
      </w:r>
      <w:r>
        <w:rPr>
          <w:color w:val="134E5C"/>
          <w:spacing w:val="9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monitoring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40" w:lineRule="auto" w:before="123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Beers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criteria</w:t>
      </w:r>
      <w:r>
        <w:rPr>
          <w:color w:val="134E5C"/>
          <w:spacing w:val="-12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deprescribing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40" w:lineRule="auto" w:before="113" w:after="0"/>
        <w:ind w:left="591" w:right="0" w:hanging="297"/>
        <w:jc w:val="left"/>
        <w:rPr>
          <w:position w:val="1"/>
          <w:sz w:val="18"/>
        </w:rPr>
      </w:pPr>
      <w:r>
        <w:rPr>
          <w:color w:val="134E5C"/>
          <w:spacing w:val="-2"/>
          <w:w w:val="105"/>
          <w:position w:val="1"/>
          <w:sz w:val="18"/>
        </w:rPr>
        <w:t>Medicare</w:t>
      </w:r>
      <w:r>
        <w:rPr>
          <w:color w:val="134E5C"/>
          <w:spacing w:val="-1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annual</w:t>
      </w:r>
      <w:r>
        <w:rPr>
          <w:color w:val="134E5C"/>
          <w:spacing w:val="-1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wellness</w:t>
      </w:r>
      <w:r>
        <w:rPr>
          <w:color w:val="134E5C"/>
          <w:spacing w:val="-1"/>
          <w:w w:val="105"/>
          <w:position w:val="1"/>
          <w:sz w:val="18"/>
        </w:rPr>
        <w:t> </w:t>
      </w:r>
      <w:r>
        <w:rPr>
          <w:color w:val="134E5C"/>
          <w:spacing w:val="-2"/>
          <w:w w:val="105"/>
          <w:position w:val="1"/>
          <w:sz w:val="18"/>
        </w:rPr>
        <w:t>visits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40" w:lineRule="auto" w:before="108" w:after="0"/>
        <w:ind w:left="591" w:right="0" w:hanging="297"/>
        <w:jc w:val="left"/>
        <w:rPr>
          <w:sz w:val="18"/>
        </w:rPr>
      </w:pPr>
      <w:r>
        <w:rPr>
          <w:color w:val="134E5C"/>
          <w:sz w:val="18"/>
        </w:rPr>
        <w:t>Epic</w:t>
      </w:r>
      <w:r>
        <w:rPr>
          <w:color w:val="134E5C"/>
          <w:spacing w:val="17"/>
          <w:sz w:val="18"/>
        </w:rPr>
        <w:t> </w:t>
      </w:r>
      <w:r>
        <w:rPr>
          <w:color w:val="134E5C"/>
          <w:spacing w:val="-5"/>
          <w:sz w:val="18"/>
        </w:rPr>
        <w:t>EMR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40" w:lineRule="auto" w:before="138" w:after="0"/>
        <w:ind w:left="591" w:right="0" w:hanging="297"/>
        <w:jc w:val="left"/>
        <w:rPr>
          <w:sz w:val="18"/>
        </w:rPr>
      </w:pPr>
      <w:r>
        <w:rPr/>
        <w:br w:type="column"/>
      </w:r>
      <w:r>
        <w:rPr>
          <w:color w:val="134E5C"/>
          <w:w w:val="105"/>
          <w:sz w:val="18"/>
        </w:rPr>
        <w:t>Cared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4-5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post-PCI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CABG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patients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per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shift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w w:val="105"/>
          <w:sz w:val="18"/>
        </w:rPr>
        <w:t>with</w:t>
      </w:r>
      <w:r>
        <w:rPr>
          <w:color w:val="134E5C"/>
          <w:spacing w:val="-10"/>
          <w:w w:val="105"/>
          <w:sz w:val="18"/>
        </w:rPr>
        <w:t> </w:t>
      </w:r>
      <w:r>
        <w:rPr>
          <w:color w:val="134E5C"/>
          <w:w w:val="105"/>
          <w:sz w:val="18"/>
        </w:rPr>
        <w:t>telemetry</w:t>
      </w:r>
      <w:r>
        <w:rPr>
          <w:color w:val="134E5C"/>
          <w:spacing w:val="-11"/>
          <w:w w:val="105"/>
          <w:sz w:val="18"/>
        </w:rPr>
        <w:t> </w:t>
      </w:r>
      <w:r>
        <w:rPr>
          <w:color w:val="134E5C"/>
          <w:spacing w:val="-2"/>
          <w:w w:val="105"/>
          <w:sz w:val="18"/>
        </w:rPr>
        <w:t>monitoring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61" w:lineRule="auto" w:before="123" w:after="0"/>
        <w:ind w:left="591" w:right="427" w:hanging="298"/>
        <w:jc w:val="left"/>
        <w:rPr>
          <w:sz w:val="18"/>
        </w:rPr>
      </w:pPr>
      <w:r>
        <w:rPr>
          <w:color w:val="134E5C"/>
          <w:w w:val="105"/>
          <w:sz w:val="18"/>
        </w:rPr>
        <w:t>Served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as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charge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nurse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2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nights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per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week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oriented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9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new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RNs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over</w:t>
      </w:r>
      <w:r>
        <w:rPr>
          <w:color w:val="134E5C"/>
          <w:spacing w:val="-7"/>
          <w:w w:val="105"/>
          <w:sz w:val="18"/>
        </w:rPr>
        <w:t> </w:t>
      </w:r>
      <w:r>
        <w:rPr>
          <w:color w:val="134E5C"/>
          <w:w w:val="105"/>
          <w:sz w:val="18"/>
        </w:rPr>
        <w:t>3 </w:t>
      </w:r>
      <w:r>
        <w:rPr>
          <w:color w:val="134E5C"/>
          <w:spacing w:val="-2"/>
          <w:w w:val="105"/>
          <w:sz w:val="18"/>
        </w:rPr>
        <w:t>years</w:t>
      </w: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40" w:lineRule="auto" w:before="104" w:after="0"/>
        <w:ind w:left="591" w:right="0" w:hanging="297"/>
        <w:jc w:val="left"/>
        <w:rPr>
          <w:sz w:val="18"/>
        </w:rPr>
      </w:pPr>
      <w:r>
        <w:rPr>
          <w:color w:val="134E5C"/>
          <w:w w:val="105"/>
          <w:sz w:val="18"/>
        </w:rPr>
        <w:t>Earned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PCCN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certiﬁcation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and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unit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Daisy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Award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nomination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in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spacing w:val="-4"/>
          <w:w w:val="105"/>
          <w:sz w:val="18"/>
        </w:rPr>
        <w:t>2022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780" w:bottom="280" w:left="283" w:right="283"/>
          <w:cols w:num="2" w:equalWidth="0">
            <w:col w:w="3253" w:space="932"/>
            <w:col w:w="7169"/>
          </w:cols>
        </w:sectPr>
      </w:pPr>
    </w:p>
    <w:p>
      <w:pPr>
        <w:pStyle w:val="ListParagraph"/>
        <w:numPr>
          <w:ilvl w:val="0"/>
          <w:numId w:val="1"/>
        </w:numPr>
        <w:tabs>
          <w:tab w:pos="591" w:val="left" w:leader="none"/>
        </w:tabs>
        <w:spacing w:line="278" w:lineRule="auto" w:before="123" w:after="0"/>
        <w:ind w:left="591" w:right="38" w:hanging="298"/>
        <w:jc w:val="left"/>
        <w:rPr>
          <w:sz w:val="18"/>
        </w:rPr>
      </w:pPr>
      <w:r>
        <w:rPr>
          <w:color w:val="134E5C"/>
          <w:w w:val="105"/>
          <w:sz w:val="18"/>
        </w:rPr>
        <w:t>Patient</w:t>
      </w:r>
      <w:r>
        <w:rPr>
          <w:color w:val="134E5C"/>
          <w:spacing w:val="-14"/>
          <w:w w:val="105"/>
          <w:sz w:val="18"/>
        </w:rPr>
        <w:t> </w:t>
      </w:r>
      <w:r>
        <w:rPr>
          <w:color w:val="134E5C"/>
          <w:w w:val="105"/>
          <w:sz w:val="18"/>
        </w:rPr>
        <w:t>education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for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low</w:t>
      </w:r>
      <w:r>
        <w:rPr>
          <w:color w:val="134E5C"/>
          <w:spacing w:val="-13"/>
          <w:w w:val="105"/>
          <w:sz w:val="18"/>
        </w:rPr>
        <w:t> </w:t>
      </w:r>
      <w:r>
        <w:rPr>
          <w:color w:val="134E5C"/>
          <w:w w:val="105"/>
          <w:sz w:val="18"/>
        </w:rPr>
        <w:t>health </w:t>
      </w:r>
      <w:r>
        <w:rPr>
          <w:color w:val="134E5C"/>
          <w:spacing w:val="-2"/>
          <w:w w:val="105"/>
          <w:sz w:val="18"/>
        </w:rPr>
        <w:t>literacy</w:t>
      </w:r>
    </w:p>
    <w:p>
      <w:pPr>
        <w:pStyle w:val="Heading1"/>
        <w:spacing w:before="172"/>
        <w:ind w:left="294"/>
      </w:pPr>
      <w:r>
        <w:rPr/>
        <w:br w:type="column"/>
      </w:r>
      <w:r>
        <w:rPr>
          <w:color w:val="134E5C"/>
          <w:spacing w:val="-2"/>
        </w:rPr>
        <w:t>EDUCATION</w:t>
      </w:r>
    </w:p>
    <w:p>
      <w:pPr>
        <w:spacing w:before="166"/>
        <w:ind w:left="294" w:right="0" w:firstLine="0"/>
        <w:jc w:val="left"/>
        <w:rPr>
          <w:sz w:val="20"/>
        </w:rPr>
      </w:pPr>
      <w:r>
        <w:rPr>
          <w:sz w:val="20"/>
        </w:rPr>
        <w:t>MSN,</w:t>
      </w:r>
      <w:r>
        <w:rPr>
          <w:spacing w:val="-4"/>
          <w:sz w:val="20"/>
        </w:rPr>
        <w:t> </w:t>
      </w:r>
      <w:r>
        <w:rPr>
          <w:sz w:val="20"/>
        </w:rPr>
        <w:t>Adult-Gerontology</w:t>
      </w:r>
      <w:r>
        <w:rPr>
          <w:spacing w:val="11"/>
          <w:sz w:val="20"/>
        </w:rPr>
        <w:t> </w:t>
      </w:r>
      <w:r>
        <w:rPr>
          <w:sz w:val="20"/>
        </w:rPr>
        <w:t>Primary</w:t>
      </w:r>
      <w:r>
        <w:rPr>
          <w:spacing w:val="11"/>
          <w:sz w:val="20"/>
        </w:rPr>
        <w:t> </w:t>
      </w:r>
      <w:r>
        <w:rPr>
          <w:sz w:val="20"/>
        </w:rPr>
        <w:t>Care</w:t>
      </w:r>
      <w:r>
        <w:rPr>
          <w:spacing w:val="10"/>
          <w:sz w:val="20"/>
        </w:rPr>
        <w:t> </w:t>
      </w:r>
      <w:r>
        <w:rPr>
          <w:spacing w:val="-5"/>
          <w:sz w:val="20"/>
        </w:rPr>
        <w:t>NP</w:t>
      </w:r>
    </w:p>
    <w:p>
      <w:pPr>
        <w:pStyle w:val="BodyText"/>
        <w:spacing w:before="29"/>
        <w:ind w:left="294"/>
      </w:pPr>
      <w:r>
        <w:rPr>
          <w:color w:val="134E5C"/>
        </w:rPr>
        <w:t>Ohio</w:t>
      </w:r>
      <w:r>
        <w:rPr>
          <w:color w:val="134E5C"/>
          <w:spacing w:val="5"/>
        </w:rPr>
        <w:t> </w:t>
      </w:r>
      <w:r>
        <w:rPr>
          <w:color w:val="134E5C"/>
        </w:rPr>
        <w:t>State</w:t>
      </w:r>
      <w:r>
        <w:rPr>
          <w:color w:val="134E5C"/>
          <w:spacing w:val="6"/>
        </w:rPr>
        <w:t> </w:t>
      </w:r>
      <w:r>
        <w:rPr>
          <w:color w:val="134E5C"/>
        </w:rPr>
        <w:t>University</w:t>
      </w:r>
      <w:r>
        <w:rPr>
          <w:color w:val="134E5C"/>
          <w:spacing w:val="6"/>
        </w:rPr>
        <w:t> </w:t>
      </w:r>
      <w:r>
        <w:rPr>
          <w:color w:val="134E5C"/>
        </w:rPr>
        <w:t>|</w:t>
      </w:r>
      <w:r>
        <w:rPr>
          <w:color w:val="134E5C"/>
          <w:spacing w:val="5"/>
        </w:rPr>
        <w:t> </w:t>
      </w:r>
      <w:r>
        <w:rPr>
          <w:color w:val="134E5C"/>
        </w:rPr>
        <w:t>May</w:t>
      </w:r>
      <w:r>
        <w:rPr>
          <w:color w:val="134E5C"/>
          <w:spacing w:val="6"/>
        </w:rPr>
        <w:t> </w:t>
      </w:r>
      <w:r>
        <w:rPr>
          <w:color w:val="134E5C"/>
          <w:spacing w:val="-4"/>
        </w:rPr>
        <w:t>2024</w:t>
      </w:r>
    </w:p>
    <w:p>
      <w:pPr>
        <w:spacing w:before="149"/>
        <w:ind w:left="294" w:right="0" w:firstLine="0"/>
        <w:jc w:val="left"/>
        <w:rPr>
          <w:sz w:val="20"/>
        </w:rPr>
      </w:pPr>
      <w:r>
        <w:rPr>
          <w:spacing w:val="-5"/>
          <w:sz w:val="20"/>
        </w:rPr>
        <w:t>BSN</w:t>
      </w:r>
    </w:p>
    <w:p>
      <w:pPr>
        <w:pStyle w:val="BodyText"/>
        <w:spacing w:before="44"/>
        <w:ind w:left="294"/>
      </w:pPr>
      <w:r>
        <w:rPr>
          <w:color w:val="134E5C"/>
          <w:spacing w:val="-2"/>
          <w:w w:val="105"/>
        </w:rPr>
        <w:t>University</w:t>
      </w:r>
      <w:r>
        <w:rPr>
          <w:color w:val="134E5C"/>
          <w:spacing w:val="-4"/>
          <w:w w:val="105"/>
        </w:rPr>
        <w:t> </w:t>
      </w:r>
      <w:r>
        <w:rPr>
          <w:color w:val="134E5C"/>
          <w:spacing w:val="-2"/>
          <w:w w:val="105"/>
        </w:rPr>
        <w:t>of</w:t>
      </w:r>
      <w:r>
        <w:rPr>
          <w:color w:val="134E5C"/>
          <w:spacing w:val="-3"/>
          <w:w w:val="105"/>
        </w:rPr>
        <w:t> </w:t>
      </w:r>
      <w:r>
        <w:rPr>
          <w:color w:val="134E5C"/>
          <w:spacing w:val="-2"/>
          <w:w w:val="105"/>
        </w:rPr>
        <w:t>Cincinnati</w:t>
      </w:r>
      <w:r>
        <w:rPr>
          <w:color w:val="134E5C"/>
          <w:spacing w:val="-3"/>
          <w:w w:val="105"/>
        </w:rPr>
        <w:t> </w:t>
      </w:r>
      <w:r>
        <w:rPr>
          <w:color w:val="134E5C"/>
          <w:spacing w:val="-2"/>
          <w:w w:val="105"/>
        </w:rPr>
        <w:t>|</w:t>
      </w:r>
      <w:r>
        <w:rPr>
          <w:color w:val="134E5C"/>
          <w:spacing w:val="-3"/>
          <w:w w:val="105"/>
        </w:rPr>
        <w:t> </w:t>
      </w:r>
      <w:r>
        <w:rPr>
          <w:color w:val="134E5C"/>
          <w:spacing w:val="-2"/>
          <w:w w:val="105"/>
        </w:rPr>
        <w:t>May</w:t>
      </w:r>
      <w:r>
        <w:rPr>
          <w:color w:val="134E5C"/>
          <w:spacing w:val="-3"/>
          <w:w w:val="105"/>
        </w:rPr>
        <w:t> </w:t>
      </w:r>
      <w:r>
        <w:rPr>
          <w:color w:val="134E5C"/>
          <w:spacing w:val="-4"/>
          <w:w w:val="105"/>
        </w:rPr>
        <w:t>2016</w:t>
      </w:r>
    </w:p>
    <w:p>
      <w:pPr>
        <w:pStyle w:val="BodyText"/>
        <w:spacing w:after="0"/>
        <w:sectPr>
          <w:type w:val="continuous"/>
          <w:pgSz w:w="11920" w:h="16860"/>
          <w:pgMar w:top="780" w:bottom="280" w:left="283" w:right="283"/>
          <w:cols w:num="2" w:equalWidth="0">
            <w:col w:w="3236" w:space="596"/>
            <w:col w:w="7522"/>
          </w:cols>
        </w:sectPr>
      </w:pPr>
    </w:p>
    <w:p>
      <w:pPr>
        <w:pStyle w:val="ListParagraph"/>
        <w:numPr>
          <w:ilvl w:val="1"/>
          <w:numId w:val="1"/>
        </w:numPr>
        <w:tabs>
          <w:tab w:pos="4776" w:val="left" w:leader="none"/>
        </w:tabs>
        <w:spacing w:line="240" w:lineRule="auto" w:before="138" w:after="0"/>
        <w:ind w:left="4776" w:right="0" w:hanging="297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92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76487" y="12"/>
                            <a:ext cx="50920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10704830">
                                <a:moveTo>
                                  <a:pt x="5091684" y="3057512"/>
                                </a:moveTo>
                                <a:lnTo>
                                  <a:pt x="0" y="3057512"/>
                                </a:lnTo>
                                <a:lnTo>
                                  <a:pt x="0" y="10704563"/>
                                </a:lnTo>
                                <a:lnTo>
                                  <a:pt x="5091684" y="10704563"/>
                                </a:lnTo>
                                <a:lnTo>
                                  <a:pt x="5091684" y="3057512"/>
                                </a:lnTo>
                                <a:close/>
                              </a:path>
                              <a:path w="5092065" h="10704830">
                                <a:moveTo>
                                  <a:pt x="50916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66925"/>
                                </a:lnTo>
                                <a:lnTo>
                                  <a:pt x="5091684" y="2066925"/>
                                </a:lnTo>
                                <a:lnTo>
                                  <a:pt x="5091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66975" cy="8591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8591550">
                                <a:moveTo>
                                  <a:pt x="2466974" y="8591549"/>
                                </a:moveTo>
                                <a:lnTo>
                                  <a:pt x="0" y="8591549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8591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225" y="555624"/>
                            <a:ext cx="1733549" cy="17398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77" y="338137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30" y="37242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119" y="41148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80" y="447119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162174" y="2066925"/>
                            <a:ext cx="540639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6390" h="990600">
                                <a:moveTo>
                                  <a:pt x="5406008" y="990599"/>
                                </a:moveTo>
                                <a:lnTo>
                                  <a:pt x="0" y="990599"/>
                                </a:lnTo>
                                <a:lnTo>
                                  <a:pt x="0" y="0"/>
                                </a:lnTo>
                                <a:lnTo>
                                  <a:pt x="5406008" y="0"/>
                                </a:lnTo>
                                <a:lnTo>
                                  <a:pt x="5406008" y="990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162174" y="3057524"/>
                            <a:ext cx="30480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" h="381000">
                                <a:moveTo>
                                  <a:pt x="304799" y="380999"/>
                                </a:moveTo>
                                <a:lnTo>
                                  <a:pt x="0" y="0"/>
                                </a:lnTo>
                                <a:lnTo>
                                  <a:pt x="304799" y="0"/>
                                </a:lnTo>
                                <a:lnTo>
                                  <a:pt x="304799" y="380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8B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7280" id="docshapegroup1" coordorigin="0,0" coordsize="11919,16858">
                <v:shape style="position:absolute;left:3899;top:0;width:8019;height:16858" id="docshape2" coordorigin="3900,0" coordsize="8019,16858" path="m11918,4815l3900,4815,3900,16858,11918,16858,11918,4815xm11918,0l3900,0,3900,3255,11918,3255,11918,0xe" filled="true" fillcolor="#f5f5f5" stroked="false">
                  <v:path arrowok="t"/>
                  <v:fill type="solid"/>
                </v:shape>
                <v:rect style="position:absolute;left:0;top:0;width:3885;height:13530" id="docshape3" filled="true" fillcolor="#ffffff" stroked="false">
                  <v:fill type="solid"/>
                </v:rect>
                <v:shape style="position:absolute;left:435;top:875;width:2730;height:2740" type="#_x0000_t75" id="docshape4" stroked="false">
                  <v:imagedata r:id="rId5" o:title=""/>
                </v:shape>
                <v:shape style="position:absolute;left:585;top:5325;width:317;height:317" type="#_x0000_t75" id="docshape5" stroked="false">
                  <v:imagedata r:id="rId6" o:title=""/>
                </v:shape>
                <v:shape style="position:absolute;left:605;top:5865;width:275;height:317" type="#_x0000_t75" id="docshape6" stroked="false">
                  <v:imagedata r:id="rId7" o:title=""/>
                </v:shape>
                <v:shape style="position:absolute;left:586;top:6480;width:315;height:317" type="#_x0000_t75" id="docshape7" stroked="false">
                  <v:imagedata r:id="rId8" o:title=""/>
                </v:shape>
                <v:shape style="position:absolute;left:585;top:7041;width:317;height:274" type="#_x0000_t75" id="docshape8" stroked="false">
                  <v:imagedata r:id="rId9" o:title=""/>
                </v:shape>
                <v:rect style="position:absolute;left:3405;top:3255;width:8514;height:1560" id="docshape9" filled="true" fillcolor="#134e5c" stroked="false">
                  <v:fill type="solid"/>
                </v:rect>
                <v:shape style="position:absolute;left:3405;top:4815;width:480;height:600" id="docshape10" coordorigin="3405,4815" coordsize="480,600" path="m3885,5415l3405,4815,3885,4815,3885,5415xe" filled="true" fillcolor="#918b8b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134E5C"/>
          <w:sz w:val="18"/>
        </w:rPr>
        <w:t>ANCC</w:t>
      </w:r>
      <w:r>
        <w:rPr>
          <w:color w:val="134E5C"/>
          <w:spacing w:val="16"/>
          <w:sz w:val="18"/>
        </w:rPr>
        <w:t> </w:t>
      </w:r>
      <w:r>
        <w:rPr>
          <w:color w:val="134E5C"/>
          <w:sz w:val="18"/>
        </w:rPr>
        <w:t>Board</w:t>
      </w:r>
      <w:r>
        <w:rPr>
          <w:color w:val="134E5C"/>
          <w:spacing w:val="16"/>
          <w:sz w:val="18"/>
        </w:rPr>
        <w:t> </w:t>
      </w:r>
      <w:r>
        <w:rPr>
          <w:color w:val="134E5C"/>
          <w:sz w:val="18"/>
        </w:rPr>
        <w:t>Certiﬁed</w:t>
      </w:r>
      <w:r>
        <w:rPr>
          <w:color w:val="134E5C"/>
          <w:spacing w:val="17"/>
          <w:sz w:val="18"/>
        </w:rPr>
        <w:t> </w:t>
      </w:r>
      <w:r>
        <w:rPr>
          <w:color w:val="134E5C"/>
          <w:sz w:val="18"/>
        </w:rPr>
        <w:t>(AGPCNP-BC),</w:t>
      </w:r>
      <w:r>
        <w:rPr>
          <w:color w:val="134E5C"/>
          <w:spacing w:val="16"/>
          <w:sz w:val="18"/>
        </w:rPr>
        <w:t> </w:t>
      </w:r>
      <w:r>
        <w:rPr>
          <w:color w:val="134E5C"/>
          <w:spacing w:val="-4"/>
          <w:sz w:val="18"/>
        </w:rPr>
        <w:t>2024</w:t>
      </w:r>
    </w:p>
    <w:p>
      <w:pPr>
        <w:pStyle w:val="ListParagraph"/>
        <w:numPr>
          <w:ilvl w:val="1"/>
          <w:numId w:val="1"/>
        </w:numPr>
        <w:tabs>
          <w:tab w:pos="4776" w:val="left" w:leader="none"/>
        </w:tabs>
        <w:spacing w:line="240" w:lineRule="auto" w:before="113" w:after="0"/>
        <w:ind w:left="4776" w:right="0" w:hanging="297"/>
        <w:jc w:val="left"/>
        <w:rPr>
          <w:position w:val="1"/>
          <w:sz w:val="18"/>
        </w:rPr>
      </w:pPr>
      <w:r>
        <w:rPr>
          <w:color w:val="134E5C"/>
          <w:position w:val="1"/>
          <w:sz w:val="18"/>
        </w:rPr>
        <w:t>Ohio</w:t>
      </w:r>
      <w:r>
        <w:rPr>
          <w:color w:val="134E5C"/>
          <w:spacing w:val="6"/>
          <w:position w:val="1"/>
          <w:sz w:val="18"/>
        </w:rPr>
        <w:t> </w:t>
      </w:r>
      <w:r>
        <w:rPr>
          <w:color w:val="134E5C"/>
          <w:position w:val="1"/>
          <w:sz w:val="18"/>
        </w:rPr>
        <w:t>RN</w:t>
      </w:r>
      <w:r>
        <w:rPr>
          <w:color w:val="134E5C"/>
          <w:spacing w:val="7"/>
          <w:position w:val="1"/>
          <w:sz w:val="18"/>
        </w:rPr>
        <w:t> </w:t>
      </w:r>
      <w:r>
        <w:rPr>
          <w:color w:val="134E5C"/>
          <w:position w:val="1"/>
          <w:sz w:val="18"/>
        </w:rPr>
        <w:t>and</w:t>
      </w:r>
      <w:r>
        <w:rPr>
          <w:color w:val="134E5C"/>
          <w:spacing w:val="6"/>
          <w:position w:val="1"/>
          <w:sz w:val="18"/>
        </w:rPr>
        <w:t> </w:t>
      </w:r>
      <w:r>
        <w:rPr>
          <w:color w:val="134E5C"/>
          <w:position w:val="1"/>
          <w:sz w:val="18"/>
        </w:rPr>
        <w:t>APRN</w:t>
      </w:r>
      <w:r>
        <w:rPr>
          <w:color w:val="134E5C"/>
          <w:spacing w:val="7"/>
          <w:position w:val="1"/>
          <w:sz w:val="18"/>
        </w:rPr>
        <w:t> </w:t>
      </w:r>
      <w:r>
        <w:rPr>
          <w:color w:val="134E5C"/>
          <w:position w:val="1"/>
          <w:sz w:val="18"/>
        </w:rPr>
        <w:t>licenses,</w:t>
      </w:r>
      <w:r>
        <w:rPr>
          <w:color w:val="134E5C"/>
          <w:spacing w:val="7"/>
          <w:position w:val="1"/>
          <w:sz w:val="18"/>
        </w:rPr>
        <w:t> </w:t>
      </w:r>
      <w:r>
        <w:rPr>
          <w:color w:val="134E5C"/>
          <w:position w:val="1"/>
          <w:sz w:val="18"/>
        </w:rPr>
        <w:t>DEA</w:t>
      </w:r>
      <w:r>
        <w:rPr>
          <w:color w:val="134E5C"/>
          <w:spacing w:val="6"/>
          <w:position w:val="1"/>
          <w:sz w:val="18"/>
        </w:rPr>
        <w:t> </w:t>
      </w:r>
      <w:r>
        <w:rPr>
          <w:color w:val="134E5C"/>
          <w:spacing w:val="-2"/>
          <w:position w:val="1"/>
          <w:sz w:val="18"/>
        </w:rPr>
        <w:t>active</w:t>
      </w:r>
    </w:p>
    <w:sectPr>
      <w:type w:val="continuous"/>
      <w:pgSz w:w="11920" w:h="16860"/>
      <w:pgMar w:top="78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91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59" w:hanging="298"/>
      </w:pPr>
      <w:rPr>
        <w:rFonts w:hint="default" w:ascii="Arial" w:hAnsi="Arial" w:eastAsia="Arial" w:cs="Arial"/>
        <w:b w:val="0"/>
        <w:bCs w:val="0"/>
        <w:i w:val="0"/>
        <w:iCs w:val="0"/>
        <w:color w:val="134E5C"/>
        <w:spacing w:val="0"/>
        <w:w w:val="147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78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8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8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9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9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0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7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591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8"/>
      <w:outlineLvl w:val="1"/>
    </w:pPr>
    <w:rPr>
      <w:rFonts w:ascii="Arial" w:hAnsi="Arial" w:eastAsia="Arial" w:cs="Arial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13"/>
      <w:ind w:left="591" w:hanging="297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2026-06-27T13:56:50Z</dcterms:created>
  <dcterms:modified xsi:type="dcterms:W3CDTF">2026-06-27T13:56:50Z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2026-06-27T00:00:00Z</vt:filetime>
  </property>
  <property fmtid="{D5CDD505-2E9C-101B-9397-08002B2CF9AE}" pid="5" name="Producer">
    <vt:lpwstr>Skia/PDF m121</vt:lpwstr>
  </property>
</Properties>
</file>