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340" w:right="11" w:firstLine="0"/>
        <w:jc w:val="center"/>
        <w:rPr>
          <w:sz w:val="74"/>
        </w:rPr>
      </w:pPr>
      <w:r>
        <w:rPr>
          <w:b/>
          <w:color w:val="0C5394"/>
          <w:spacing w:val="11"/>
          <w:sz w:val="74"/>
        </w:rPr>
        <w:t>Sandra</w:t>
      </w:r>
      <w:r>
        <w:rPr>
          <w:b/>
          <w:color w:val="0C5394"/>
          <w:spacing w:val="35"/>
          <w:sz w:val="74"/>
        </w:rPr>
        <w:t> </w:t>
      </w:r>
      <w:r>
        <w:rPr>
          <w:color w:val="0C5394"/>
          <w:spacing w:val="10"/>
          <w:sz w:val="74"/>
        </w:rPr>
        <w:t>Thompson</w:t>
      </w:r>
    </w:p>
    <w:p>
      <w:pPr>
        <w:spacing w:before="83"/>
        <w:ind w:left="4340" w:right="0" w:firstLine="0"/>
        <w:jc w:val="center"/>
        <w:rPr>
          <w:b/>
          <w:sz w:val="16"/>
        </w:rPr>
      </w:pPr>
      <w:r>
        <w:rPr>
          <w:b/>
          <w:color w:val="0C5394"/>
          <w:w w:val="105"/>
          <w:sz w:val="16"/>
        </w:rPr>
        <w:t>Business</w:t>
      </w:r>
      <w:r>
        <w:rPr>
          <w:b/>
          <w:color w:val="0C5394"/>
          <w:spacing w:val="20"/>
          <w:w w:val="105"/>
          <w:sz w:val="16"/>
        </w:rPr>
        <w:t> </w:t>
      </w:r>
      <w:r>
        <w:rPr>
          <w:b/>
          <w:color w:val="0C5394"/>
          <w:spacing w:val="-2"/>
          <w:w w:val="105"/>
          <w:sz w:val="16"/>
        </w:rPr>
        <w:t>Manager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88"/>
        <w:rPr>
          <w:b/>
          <w:sz w:val="18"/>
        </w:rPr>
      </w:pPr>
    </w:p>
    <w:p>
      <w:pPr>
        <w:pStyle w:val="Heading1"/>
        <w:ind w:left="4336"/>
      </w:pPr>
      <w:r>
        <w:rPr>
          <w:color w:val="0C5394"/>
          <w:w w:val="105"/>
        </w:rPr>
        <w:t>A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B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O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U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T</w:t>
      </w:r>
      <w:r>
        <w:rPr>
          <w:color w:val="0C5394"/>
          <w:spacing w:val="56"/>
          <w:w w:val="105"/>
        </w:rPr>
        <w:t> </w:t>
      </w:r>
      <w:r>
        <w:rPr>
          <w:color w:val="0C5394"/>
          <w:w w:val="105"/>
        </w:rPr>
        <w:t>M</w:t>
      </w:r>
      <w:r>
        <w:rPr>
          <w:color w:val="0C5394"/>
          <w:spacing w:val="-15"/>
          <w:w w:val="105"/>
        </w:rPr>
        <w:t> </w:t>
      </w:r>
      <w:r>
        <w:rPr>
          <w:color w:val="0C5394"/>
          <w:spacing w:val="-10"/>
          <w:w w:val="105"/>
        </w:rPr>
        <w:t>E</w:t>
      </w:r>
    </w:p>
    <w:p>
      <w:pPr>
        <w:pStyle w:val="BodyText"/>
        <w:spacing w:line="292" w:lineRule="auto" w:before="187"/>
        <w:ind w:left="4336" w:right="73"/>
      </w:pPr>
      <w:r>
        <w:rPr>
          <w:w w:val="105"/>
        </w:rPr>
        <w:t>Senior</w:t>
      </w:r>
      <w:r>
        <w:rPr>
          <w:spacing w:val="32"/>
          <w:w w:val="105"/>
        </w:rPr>
        <w:t> </w:t>
      </w:r>
      <w:r>
        <w:rPr>
          <w:w w:val="105"/>
        </w:rPr>
        <w:t>business</w:t>
      </w:r>
      <w:r>
        <w:rPr>
          <w:spacing w:val="32"/>
          <w:w w:val="105"/>
        </w:rPr>
        <w:t> </w:t>
      </w:r>
      <w:r>
        <w:rPr>
          <w:w w:val="105"/>
        </w:rPr>
        <w:t>manager</w:t>
      </w:r>
      <w:r>
        <w:rPr>
          <w:spacing w:val="32"/>
          <w:w w:val="105"/>
        </w:rPr>
        <w:t> </w:t>
      </w:r>
      <w:r>
        <w:rPr>
          <w:w w:val="105"/>
        </w:rPr>
        <w:t>with</w:t>
      </w:r>
      <w:r>
        <w:rPr>
          <w:spacing w:val="32"/>
          <w:w w:val="105"/>
        </w:rPr>
        <w:t> </w:t>
      </w:r>
      <w:r>
        <w:rPr>
          <w:w w:val="105"/>
        </w:rPr>
        <w:t>15+</w:t>
      </w:r>
      <w:r>
        <w:rPr>
          <w:spacing w:val="32"/>
          <w:w w:val="105"/>
        </w:rPr>
        <w:t> </w:t>
      </w:r>
      <w:r>
        <w:rPr>
          <w:w w:val="105"/>
        </w:rPr>
        <w:t>years</w:t>
      </w:r>
      <w:r>
        <w:rPr>
          <w:spacing w:val="32"/>
          <w:w w:val="105"/>
        </w:rPr>
        <w:t> </w:t>
      </w:r>
      <w:r>
        <w:rPr>
          <w:w w:val="105"/>
        </w:rPr>
        <w:t>leading</w:t>
      </w:r>
      <w:r>
        <w:rPr>
          <w:spacing w:val="32"/>
          <w:w w:val="105"/>
        </w:rPr>
        <w:t> </w:t>
      </w:r>
      <w:r>
        <w:rPr>
          <w:w w:val="105"/>
        </w:rPr>
        <w:t>finance,</w:t>
      </w:r>
      <w:r>
        <w:rPr>
          <w:spacing w:val="32"/>
          <w:w w:val="105"/>
        </w:rPr>
        <w:t> </w:t>
      </w:r>
      <w:r>
        <w:rPr>
          <w:w w:val="105"/>
        </w:rPr>
        <w:t>HR,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operations</w:t>
      </w:r>
      <w:r>
        <w:rPr>
          <w:spacing w:val="32"/>
          <w:w w:val="105"/>
        </w:rPr>
        <w:t> </w:t>
      </w:r>
      <w:r>
        <w:rPr>
          <w:w w:val="105"/>
        </w:rPr>
        <w:t>for</w:t>
      </w:r>
      <w:r>
        <w:rPr>
          <w:spacing w:val="32"/>
          <w:w w:val="105"/>
        </w:rPr>
        <w:t> </w:t>
      </w:r>
      <w:r>
        <w:rPr>
          <w:w w:val="105"/>
        </w:rPr>
        <w:t>mid-market</w:t>
      </w:r>
      <w:r>
        <w:rPr>
          <w:spacing w:val="33"/>
          <w:w w:val="105"/>
        </w:rPr>
        <w:t> </w:t>
      </w:r>
      <w:r>
        <w:rPr>
          <w:w w:val="105"/>
        </w:rPr>
        <w:t>companies</w:t>
      </w:r>
      <w:r>
        <w:rPr>
          <w:spacing w:val="33"/>
          <w:w w:val="105"/>
        </w:rPr>
        <w:t> </w:t>
      </w:r>
      <w:r>
        <w:rPr>
          <w:w w:val="105"/>
        </w:rPr>
        <w:t>in</w:t>
      </w:r>
      <w:r>
        <w:rPr>
          <w:spacing w:val="33"/>
          <w:w w:val="105"/>
        </w:rPr>
        <w:t> </w:t>
      </w:r>
      <w:r>
        <w:rPr>
          <w:w w:val="105"/>
        </w:rPr>
        <w:t>construction,</w:t>
      </w:r>
      <w:r>
        <w:rPr>
          <w:spacing w:val="33"/>
          <w:w w:val="105"/>
        </w:rPr>
        <w:t> </w:t>
      </w:r>
      <w:r>
        <w:rPr>
          <w:w w:val="105"/>
        </w:rPr>
        <w:t>healthcare</w:t>
      </w:r>
      <w:r>
        <w:rPr>
          <w:spacing w:val="33"/>
          <w:w w:val="105"/>
        </w:rPr>
        <w:t> </w:t>
      </w:r>
      <w:r>
        <w:rPr>
          <w:w w:val="105"/>
        </w:rPr>
        <w:t>services,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franchising.</w:t>
      </w:r>
      <w:r>
        <w:rPr>
          <w:spacing w:val="33"/>
          <w:w w:val="105"/>
        </w:rPr>
        <w:t> </w:t>
      </w:r>
      <w:r>
        <w:rPr>
          <w:w w:val="105"/>
        </w:rPr>
        <w:t>Has</w:t>
      </w:r>
      <w:r>
        <w:rPr>
          <w:spacing w:val="33"/>
          <w:w w:val="105"/>
        </w:rPr>
        <w:t> </w:t>
      </w:r>
      <w:r>
        <w:rPr>
          <w:w w:val="105"/>
        </w:rPr>
        <w:t>taken</w:t>
      </w:r>
      <w:r>
        <w:rPr>
          <w:spacing w:val="33"/>
          <w:w w:val="105"/>
        </w:rPr>
        <w:t> </w:t>
      </w:r>
      <w:r>
        <w:rPr>
          <w:w w:val="105"/>
        </w:rPr>
        <w:t>two companies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owner-run</w:t>
      </w:r>
      <w:r>
        <w:rPr>
          <w:spacing w:val="40"/>
          <w:w w:val="105"/>
        </w:rPr>
        <w:t> </w:t>
      </w:r>
      <w:r>
        <w:rPr>
          <w:w w:val="105"/>
        </w:rPr>
        <w:t>bookkeeping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audited</w:t>
      </w:r>
      <w:r>
        <w:rPr>
          <w:spacing w:val="40"/>
          <w:w w:val="105"/>
        </w:rPr>
        <w:t> </w:t>
      </w:r>
      <w:r>
        <w:rPr>
          <w:w w:val="105"/>
        </w:rPr>
        <w:t>financials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bank-grade</w:t>
      </w:r>
      <w:r>
        <w:rPr>
          <w:spacing w:val="40"/>
          <w:w w:val="105"/>
        </w:rPr>
        <w:t> </w:t>
      </w:r>
      <w:r>
        <w:rPr>
          <w:w w:val="105"/>
        </w:rPr>
        <w:t>reporting.</w:t>
      </w:r>
      <w:r>
        <w:rPr>
          <w:spacing w:val="40"/>
          <w:w w:val="105"/>
        </w:rPr>
        <w:t> </w:t>
      </w:r>
      <w:r>
        <w:rPr>
          <w:w w:val="105"/>
        </w:rPr>
        <w:t>Reports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CEO/owner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sits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leadership</w:t>
      </w:r>
      <w:r>
        <w:rPr>
          <w:spacing w:val="40"/>
          <w:w w:val="105"/>
        </w:rPr>
        <w:t> </w:t>
      </w:r>
      <w:r>
        <w:rPr>
          <w:w w:val="105"/>
        </w:rPr>
        <w:t>team.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980" w:bottom="280" w:left="425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81"/>
        <w:rPr>
          <w:sz w:val="18"/>
        </w:rPr>
      </w:pPr>
    </w:p>
    <w:p>
      <w:pPr>
        <w:pStyle w:val="Heading1"/>
      </w:pPr>
      <w:r>
        <w:rPr>
          <w:color w:val="FFFFFF"/>
          <w:w w:val="105"/>
        </w:rPr>
        <w:t>C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C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F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R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M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N</w:t>
      </w:r>
    </w:p>
    <w:p>
      <w:pPr>
        <w:spacing w:before="75"/>
        <w:ind w:left="9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0C5394"/>
          <w:sz w:val="18"/>
        </w:rPr>
        <w:t>P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R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O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F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E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S</w:t>
      </w:r>
      <w:r>
        <w:rPr>
          <w:b/>
          <w:color w:val="0C5394"/>
          <w:spacing w:val="-9"/>
          <w:sz w:val="18"/>
        </w:rPr>
        <w:t> </w:t>
      </w:r>
      <w:r>
        <w:rPr>
          <w:b/>
          <w:color w:val="0C5394"/>
          <w:sz w:val="18"/>
        </w:rPr>
        <w:t>S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I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O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N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A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L</w:t>
      </w:r>
      <w:r>
        <w:rPr>
          <w:b/>
          <w:color w:val="0C5394"/>
          <w:spacing w:val="58"/>
          <w:w w:val="150"/>
          <w:sz w:val="18"/>
        </w:rPr>
        <w:t> </w:t>
      </w:r>
      <w:r>
        <w:rPr>
          <w:b/>
          <w:color w:val="0C5394"/>
          <w:sz w:val="18"/>
        </w:rPr>
        <w:t>E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X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P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E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R</w:t>
      </w:r>
      <w:r>
        <w:rPr>
          <w:b/>
          <w:color w:val="0C5394"/>
          <w:spacing w:val="-9"/>
          <w:sz w:val="18"/>
        </w:rPr>
        <w:t> </w:t>
      </w:r>
      <w:r>
        <w:rPr>
          <w:b/>
          <w:color w:val="0C5394"/>
          <w:sz w:val="18"/>
        </w:rPr>
        <w:t>I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E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N</w:t>
      </w:r>
      <w:r>
        <w:rPr>
          <w:b/>
          <w:color w:val="0C5394"/>
          <w:spacing w:val="-10"/>
          <w:sz w:val="18"/>
        </w:rPr>
        <w:t> </w:t>
      </w:r>
      <w:r>
        <w:rPr>
          <w:b/>
          <w:color w:val="0C5394"/>
          <w:sz w:val="18"/>
        </w:rPr>
        <w:t>C</w:t>
      </w:r>
      <w:r>
        <w:rPr>
          <w:b/>
          <w:color w:val="0C5394"/>
          <w:spacing w:val="-10"/>
          <w:sz w:val="18"/>
        </w:rPr>
        <w:t> E</w:t>
      </w:r>
    </w:p>
    <w:p>
      <w:pPr>
        <w:spacing w:before="183"/>
        <w:ind w:left="95" w:right="0" w:firstLine="0"/>
        <w:jc w:val="left"/>
        <w:rPr>
          <w:sz w:val="18"/>
        </w:rPr>
      </w:pPr>
      <w:r>
        <w:rPr>
          <w:w w:val="105"/>
          <w:sz w:val="18"/>
        </w:rPr>
        <w:t>Senior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</w:p>
    <w:p>
      <w:pPr>
        <w:spacing w:before="48"/>
        <w:ind w:left="95" w:right="0" w:firstLine="0"/>
        <w:jc w:val="left"/>
        <w:rPr>
          <w:sz w:val="18"/>
        </w:rPr>
      </w:pPr>
      <w:r>
        <w:rPr>
          <w:w w:val="105"/>
          <w:sz w:val="18"/>
        </w:rPr>
        <w:t>Kessler-Vance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Mechanical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Contractors,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Tempe,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AZ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2019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980" w:bottom="280" w:left="425" w:right="283"/>
          <w:cols w:num="2" w:equalWidth="0">
            <w:col w:w="3050" w:space="1191"/>
            <w:col w:w="6971"/>
          </w:cols>
        </w:sectPr>
      </w:pPr>
    </w:p>
    <w:p>
      <w:pPr>
        <w:spacing w:before="123"/>
        <w:ind w:left="9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(480)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8"/>
        </w:rPr>
        <w:t>555-</w:t>
      </w:r>
      <w:r>
        <w:rPr>
          <w:color w:val="FFFFFF"/>
          <w:spacing w:val="-4"/>
          <w:w w:val="105"/>
          <w:sz w:val="18"/>
        </w:rPr>
        <w:t>0124</w:t>
      </w:r>
    </w:p>
    <w:p>
      <w:pPr>
        <w:pStyle w:val="BodyText"/>
        <w:spacing w:before="51"/>
        <w:rPr>
          <w:sz w:val="18"/>
        </w:rPr>
      </w:pPr>
    </w:p>
    <w:p>
      <w:pPr>
        <w:spacing w:line="278" w:lineRule="auto" w:before="0"/>
        <w:ind w:left="969" w:right="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garrett.okonkwo@example. </w:t>
      </w:r>
      <w:r>
        <w:rPr>
          <w:color w:val="FFFFFF"/>
          <w:spacing w:val="-4"/>
          <w:w w:val="105"/>
          <w:sz w:val="18"/>
        </w:rPr>
        <w:t>com</w:t>
      </w:r>
    </w:p>
    <w:p>
      <w:pPr>
        <w:pStyle w:val="BodyText"/>
        <w:spacing w:before="33"/>
        <w:rPr>
          <w:sz w:val="18"/>
        </w:rPr>
      </w:pPr>
    </w:p>
    <w:p>
      <w:pPr>
        <w:spacing w:before="0"/>
        <w:ind w:left="9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Tempe,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AZ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12345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pStyle w:val="Heading1"/>
      </w:pP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U</w:t>
      </w:r>
      <w:r>
        <w:rPr>
          <w:color w:val="FFFFFF"/>
          <w:spacing w:val="-9"/>
        </w:rPr>
        <w:t> </w:t>
      </w:r>
      <w:r>
        <w:rPr>
          <w:color w:val="FFFFFF"/>
        </w:rPr>
        <w:t>C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spacing w:line="295" w:lineRule="auto" w:before="198"/>
        <w:ind w:left="281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M.B.A., Finance concentration, Arizona State University, 2013</w:t>
      </w:r>
    </w:p>
    <w:p>
      <w:pPr>
        <w:spacing w:line="295" w:lineRule="auto" w:before="181"/>
        <w:ind w:left="281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B.S. in Business Administration, University of Texas at El Paso, </w:t>
      </w:r>
      <w:r>
        <w:rPr>
          <w:b/>
          <w:color w:val="FFFFFF"/>
          <w:spacing w:val="-4"/>
          <w:w w:val="105"/>
          <w:sz w:val="18"/>
        </w:rPr>
        <w:t>2008</w:t>
      </w:r>
    </w:p>
    <w:p>
      <w:pPr>
        <w:spacing w:line="295" w:lineRule="auto" w:before="181"/>
        <w:ind w:left="281" w:right="86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Certified Management Accountant (CMA), 2016</w:t>
      </w:r>
    </w:p>
    <w:p>
      <w:pPr>
        <w:pStyle w:val="BodyText"/>
        <w:spacing w:before="78"/>
        <w:rPr>
          <w:b/>
          <w:sz w:val="18"/>
        </w:rPr>
      </w:pPr>
    </w:p>
    <w:p>
      <w:pPr>
        <w:pStyle w:val="Heading1"/>
        <w:spacing w:before="1"/>
      </w:pP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51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204" w:lineRule="auto" w:before="147" w:after="0"/>
        <w:ind w:left="616" w:right="48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6"/>
        </w:rPr>
        <w:t>Run finance, HR, and IT for a 110-person mechanical contractor with $26M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annual revenue.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96" w:after="0"/>
        <w:ind w:left="616" w:right="178" w:hanging="298"/>
        <w:jc w:val="left"/>
        <w:rPr>
          <w:position w:val="-5"/>
          <w:sz w:val="31"/>
        </w:rPr>
      </w:pPr>
      <w:r>
        <w:rPr>
          <w:w w:val="105"/>
          <w:sz w:val="16"/>
        </w:rPr>
        <w:t>Led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move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cash-basis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bookkeeping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accrual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accounting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first external audit; clean opinion in year one.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112" w:after="0"/>
        <w:ind w:left="616" w:right="581" w:hanging="298"/>
        <w:jc w:val="left"/>
        <w:rPr>
          <w:position w:val="-5"/>
          <w:sz w:val="31"/>
        </w:rPr>
      </w:pPr>
      <w:r>
        <w:rPr>
          <w:w w:val="105"/>
          <w:sz w:val="16"/>
        </w:rPr>
        <w:t>Restructured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bonding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sureties;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raised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single-project capacity from $3M to $9M.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97" w:after="0"/>
        <w:ind w:left="616" w:right="0" w:hanging="298"/>
        <w:jc w:val="left"/>
        <w:rPr>
          <w:position w:val="-5"/>
          <w:sz w:val="31"/>
        </w:rPr>
      </w:pPr>
      <w:r>
        <w:rPr>
          <w:w w:val="105"/>
          <w:sz w:val="16"/>
        </w:rPr>
        <w:t>Manage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banking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relationship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$4M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credit;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renegotiated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rate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cut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75 bps at last renewal.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112" w:after="0"/>
        <w:ind w:left="616" w:right="660" w:hanging="298"/>
        <w:jc w:val="left"/>
        <w:rPr>
          <w:position w:val="-5"/>
          <w:sz w:val="31"/>
        </w:rPr>
      </w:pPr>
      <w:r>
        <w:rPr>
          <w:w w:val="105"/>
          <w:sz w:val="16"/>
        </w:rPr>
        <w:t>Direct a team of 6 (controller, HR generalist, AP/AR, IT lead) and own 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leadership team's monthly KPI review.</w:t>
      </w:r>
    </w:p>
    <w:p>
      <w:pPr>
        <w:pStyle w:val="BodyText"/>
        <w:spacing w:before="83"/>
      </w:pPr>
    </w:p>
    <w:p>
      <w:pPr>
        <w:spacing w:before="0"/>
        <w:ind w:left="95" w:right="0" w:firstLine="0"/>
        <w:jc w:val="left"/>
        <w:rPr>
          <w:sz w:val="18"/>
        </w:rPr>
      </w:pPr>
      <w:r>
        <w:rPr>
          <w:w w:val="105"/>
          <w:sz w:val="18"/>
        </w:rPr>
        <w:t>Business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</w:p>
    <w:p>
      <w:pPr>
        <w:spacing w:before="48"/>
        <w:ind w:left="95" w:right="0" w:firstLine="0"/>
        <w:jc w:val="left"/>
        <w:rPr>
          <w:sz w:val="18"/>
        </w:rPr>
      </w:pPr>
      <w:r>
        <w:rPr>
          <w:sz w:val="18"/>
        </w:rPr>
        <w:t>Sentinel</w:t>
      </w:r>
      <w:r>
        <w:rPr>
          <w:spacing w:val="29"/>
          <w:sz w:val="18"/>
        </w:rPr>
        <w:t> </w:t>
      </w:r>
      <w:r>
        <w:rPr>
          <w:sz w:val="18"/>
        </w:rPr>
        <w:t>Home</w:t>
      </w:r>
      <w:r>
        <w:rPr>
          <w:spacing w:val="29"/>
          <w:sz w:val="18"/>
        </w:rPr>
        <w:t> </w:t>
      </w:r>
      <w:r>
        <w:rPr>
          <w:sz w:val="18"/>
        </w:rPr>
        <w:t>Health</w:t>
      </w:r>
      <w:r>
        <w:rPr>
          <w:spacing w:val="30"/>
          <w:sz w:val="18"/>
        </w:rPr>
        <w:t> </w:t>
      </w:r>
      <w:r>
        <w:rPr>
          <w:sz w:val="18"/>
        </w:rPr>
        <w:t>Network,</w:t>
      </w:r>
      <w:r>
        <w:rPr>
          <w:spacing w:val="29"/>
          <w:sz w:val="18"/>
        </w:rPr>
        <w:t> </w:t>
      </w:r>
      <w:r>
        <w:rPr>
          <w:sz w:val="18"/>
        </w:rPr>
        <w:t>Phoenix,</w:t>
      </w:r>
      <w:r>
        <w:rPr>
          <w:spacing w:val="30"/>
          <w:sz w:val="18"/>
        </w:rPr>
        <w:t> </w:t>
      </w:r>
      <w:r>
        <w:rPr>
          <w:sz w:val="18"/>
        </w:rPr>
        <w:t>AZ</w:t>
      </w:r>
      <w:r>
        <w:rPr>
          <w:spacing w:val="29"/>
          <w:sz w:val="18"/>
        </w:rPr>
        <w:t> </w:t>
      </w:r>
      <w:r>
        <w:rPr>
          <w:sz w:val="18"/>
        </w:rPr>
        <w:t>|</w:t>
      </w:r>
      <w:r>
        <w:rPr>
          <w:spacing w:val="30"/>
          <w:sz w:val="18"/>
        </w:rPr>
        <w:t> </w:t>
      </w:r>
      <w:r>
        <w:rPr>
          <w:sz w:val="18"/>
        </w:rPr>
        <w:t>2014</w:t>
      </w:r>
      <w:r>
        <w:rPr>
          <w:spacing w:val="29"/>
          <w:sz w:val="18"/>
        </w:rPr>
        <w:t> </w:t>
      </w:r>
      <w:r>
        <w:rPr>
          <w:sz w:val="18"/>
        </w:rPr>
        <w:t>-</w:t>
      </w:r>
      <w:r>
        <w:rPr>
          <w:spacing w:val="30"/>
          <w:sz w:val="18"/>
        </w:rPr>
        <w:t> </w:t>
      </w:r>
      <w:r>
        <w:rPr>
          <w:spacing w:val="-4"/>
          <w:sz w:val="18"/>
        </w:rPr>
        <w:t>2019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162" w:after="0"/>
        <w:ind w:left="616" w:right="163" w:hanging="298"/>
        <w:jc w:val="left"/>
        <w:rPr>
          <w:position w:val="-5"/>
          <w:sz w:val="31"/>
        </w:rPr>
      </w:pPr>
      <w:r>
        <w:rPr>
          <w:w w:val="105"/>
          <w:sz w:val="16"/>
        </w:rPr>
        <w:t>Joined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4-clinic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agency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$6M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revenue;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supported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owner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growth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9 clinics and $19M before sale.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  <w:tab w:pos="616" w:val="left" w:leader="none"/>
        </w:tabs>
        <w:spacing w:line="196" w:lineRule="auto" w:before="97" w:after="0"/>
        <w:ind w:left="616" w:right="781" w:hanging="298"/>
        <w:jc w:val="left"/>
        <w:rPr>
          <w:position w:val="-5"/>
          <w:sz w:val="31"/>
        </w:rPr>
      </w:pPr>
      <w:r>
        <w:rPr>
          <w:w w:val="105"/>
          <w:sz w:val="16"/>
        </w:rPr>
        <w:t>Built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budgeting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forecasting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process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buyer's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diligence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team described as the cleanest part of the file.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331" w:lineRule="exact" w:before="71" w:after="0"/>
        <w:ind w:left="614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Negotiated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EMR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contract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insurance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carrier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agreements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during</w:t>
      </w:r>
    </w:p>
    <w:p>
      <w:pPr>
        <w:pStyle w:val="BodyText"/>
        <w:spacing w:line="63" w:lineRule="exact"/>
        <w:ind w:left="616"/>
      </w:pPr>
      <w:r>
        <w:rPr>
          <w:spacing w:val="-2"/>
          <w:w w:val="105"/>
        </w:rPr>
        <w:t>expansion.</w:t>
      </w:r>
    </w:p>
    <w:p>
      <w:pPr>
        <w:pStyle w:val="BodyText"/>
        <w:spacing w:after="0" w:line="63" w:lineRule="exact"/>
        <w:sectPr>
          <w:type w:val="continuous"/>
          <w:pgSz w:w="11920" w:h="16860"/>
          <w:pgMar w:top="980" w:bottom="280" w:left="425" w:right="283"/>
          <w:cols w:num="2" w:equalWidth="0">
            <w:col w:w="3361" w:space="880"/>
            <w:col w:w="6971"/>
          </w:cols>
        </w:sectPr>
      </w:pP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79" w:val="left" w:leader="none"/>
        </w:tabs>
        <w:spacing w:line="216" w:lineRule="auto" w:before="24" w:after="0"/>
        <w:ind w:left="579" w:right="590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P&amp;L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w w:val="105"/>
          <w:sz w:val="18"/>
        </w:rPr>
        <w:t>and balance sheet </w:t>
      </w:r>
      <w:r>
        <w:rPr>
          <w:color w:val="FFFFFF"/>
          <w:spacing w:val="-2"/>
          <w:w w:val="105"/>
          <w:sz w:val="18"/>
        </w:rPr>
        <w:t>ownership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51" w:lineRule="exact" w:before="69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Bank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7"/>
          <w:w w:val="105"/>
          <w:sz w:val="18"/>
        </w:rPr>
        <w:t> </w:t>
      </w:r>
      <w:r>
        <w:rPr>
          <w:color w:val="FFFFFF"/>
          <w:w w:val="105"/>
          <w:sz w:val="18"/>
        </w:rPr>
        <w:t>surety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relationships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39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Audit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79" w:val="left" w:leader="none"/>
        </w:tabs>
        <w:spacing w:line="208" w:lineRule="auto" w:before="175" w:after="0"/>
        <w:ind w:left="579" w:right="171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Owned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payroll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180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caregivers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states,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tricky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overtime reclassification in 2017.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79" w:val="left" w:leader="none"/>
        </w:tabs>
        <w:spacing w:line="196" w:lineRule="auto" w:before="96" w:after="0"/>
        <w:ind w:left="579" w:right="628" w:hanging="298"/>
        <w:jc w:val="left"/>
        <w:rPr>
          <w:position w:val="-5"/>
          <w:sz w:val="31"/>
        </w:rPr>
      </w:pPr>
      <w:r>
        <w:rPr>
          <w:w w:val="105"/>
          <w:sz w:val="16"/>
        </w:rPr>
        <w:t>Stayed on six months after acquisition to integrate finance into the parent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company's NetSuite tenant.</w:t>
      </w:r>
    </w:p>
    <w:p>
      <w:pPr>
        <w:pStyle w:val="ListParagraph"/>
        <w:spacing w:after="0" w:line="196" w:lineRule="auto"/>
        <w:jc w:val="left"/>
        <w:rPr>
          <w:position w:val="-5"/>
          <w:sz w:val="31"/>
        </w:rPr>
        <w:sectPr>
          <w:type w:val="continuous"/>
          <w:pgSz w:w="11920" w:h="16860"/>
          <w:pgMar w:top="980" w:bottom="280" w:left="425" w:right="283"/>
          <w:cols w:num="2" w:equalWidth="0">
            <w:col w:w="3162" w:space="1116"/>
            <w:col w:w="6934"/>
          </w:cols>
        </w:sectPr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51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Accrual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8"/>
        </w:rPr>
        <w:t>accounting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transition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39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M&amp;A</w:t>
      </w:r>
      <w:r>
        <w:rPr>
          <w:color w:val="FFFFFF"/>
          <w:spacing w:val="-1"/>
          <w:w w:val="105"/>
          <w:sz w:val="18"/>
        </w:rPr>
        <w:t> </w:t>
      </w:r>
      <w:r>
        <w:rPr>
          <w:color w:val="FFFFFF"/>
          <w:w w:val="105"/>
          <w:sz w:val="18"/>
        </w:rPr>
        <w:t>diligence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support</w:t>
      </w:r>
    </w:p>
    <w:p>
      <w:pPr>
        <w:spacing w:before="162"/>
        <w:ind w:left="281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Business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</w:p>
    <w:p>
      <w:pPr>
        <w:spacing w:before="48"/>
        <w:ind w:left="281" w:right="0" w:firstLine="0"/>
        <w:jc w:val="left"/>
        <w:rPr>
          <w:sz w:val="18"/>
        </w:rPr>
      </w:pPr>
      <w:r>
        <w:rPr>
          <w:w w:val="105"/>
          <w:sz w:val="18"/>
        </w:rPr>
        <w:t>Marisco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Quick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Lube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Franchising,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Albuquerque,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NM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2010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16"/>
          <w:w w:val="105"/>
          <w:sz w:val="18"/>
        </w:rPr>
        <w:t> </w:t>
      </w:r>
      <w:r>
        <w:rPr>
          <w:spacing w:val="-4"/>
          <w:w w:val="105"/>
          <w:sz w:val="18"/>
        </w:rPr>
        <w:t>2014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980" w:bottom="280" w:left="425" w:right="283"/>
          <w:cols w:num="2" w:equalWidth="0">
            <w:col w:w="3100" w:space="955"/>
            <w:col w:w="7157"/>
          </w:cols>
        </w:sectPr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51" w:lineRule="exact" w:before="1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Multi-state</w:t>
      </w:r>
      <w:r>
        <w:rPr>
          <w:color w:val="FFFFFF"/>
          <w:spacing w:val="1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payroll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45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NetSuite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Sage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Intacct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45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Power</w:t>
      </w:r>
      <w:r>
        <w:rPr>
          <w:color w:val="FFFFFF"/>
          <w:spacing w:val="6"/>
          <w:w w:val="105"/>
          <w:sz w:val="18"/>
        </w:rPr>
        <w:t> </w:t>
      </w:r>
      <w:r>
        <w:rPr>
          <w:color w:val="FFFFFF"/>
          <w:w w:val="105"/>
          <w:sz w:val="18"/>
        </w:rPr>
        <w:t>BI</w:t>
      </w:r>
      <w:r>
        <w:rPr>
          <w:color w:val="FFFFFF"/>
          <w:spacing w:val="7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Tableau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51" w:lineRule="exact" w:before="0" w:after="0"/>
        <w:ind w:left="577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Leadership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team</w:t>
      </w:r>
      <w:r>
        <w:rPr>
          <w:color w:val="FFFFFF"/>
          <w:spacing w:val="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reporting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79" w:val="left" w:leader="none"/>
        </w:tabs>
        <w:spacing w:line="201" w:lineRule="auto" w:before="42" w:after="0"/>
        <w:ind w:left="579" w:right="447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Vendor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w w:val="105"/>
          <w:sz w:val="18"/>
        </w:rPr>
        <w:t>insurance </w:t>
      </w:r>
      <w:r>
        <w:rPr>
          <w:color w:val="FFFFFF"/>
          <w:spacing w:val="-2"/>
          <w:w w:val="105"/>
          <w:sz w:val="18"/>
        </w:rPr>
        <w:t>negotiation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  <w:tab w:pos="579" w:val="left" w:leader="none"/>
        </w:tabs>
        <w:spacing w:line="218" w:lineRule="auto" w:before="92" w:after="0"/>
        <w:ind w:left="579" w:right="38" w:hanging="298"/>
        <w:jc w:val="left"/>
        <w:rPr>
          <w:color w:val="FFFFFF"/>
          <w:position w:val="-2"/>
          <w:sz w:val="31"/>
        </w:rPr>
      </w:pPr>
      <w:r>
        <w:rPr>
          <w:color w:val="FFFFFF"/>
          <w:w w:val="105"/>
          <w:sz w:val="18"/>
        </w:rPr>
        <w:t>Team</w:t>
      </w:r>
      <w:r>
        <w:rPr>
          <w:color w:val="FFFFFF"/>
          <w:spacing w:val="-1"/>
          <w:w w:val="105"/>
          <w:sz w:val="18"/>
        </w:rPr>
        <w:t> </w:t>
      </w:r>
      <w:r>
        <w:rPr>
          <w:color w:val="FFFFFF"/>
          <w:w w:val="105"/>
          <w:sz w:val="18"/>
        </w:rPr>
        <w:t>leadership</w:t>
      </w:r>
      <w:r>
        <w:rPr>
          <w:color w:val="FFFFFF"/>
          <w:spacing w:val="-1"/>
          <w:w w:val="105"/>
          <w:sz w:val="18"/>
        </w:rPr>
        <w:t> </w:t>
      </w:r>
      <w:r>
        <w:rPr>
          <w:color w:val="FFFFFF"/>
          <w:w w:val="105"/>
          <w:sz w:val="18"/>
        </w:rPr>
        <w:t>(6+</w:t>
      </w:r>
      <w:r>
        <w:rPr>
          <w:color w:val="FFFFFF"/>
          <w:spacing w:val="-1"/>
          <w:w w:val="105"/>
          <w:sz w:val="18"/>
        </w:rPr>
        <w:t> </w:t>
      </w:r>
      <w:r>
        <w:rPr>
          <w:color w:val="FFFFFF"/>
          <w:w w:val="105"/>
          <w:sz w:val="18"/>
        </w:rPr>
        <w:t>direct </w:t>
      </w:r>
      <w:r>
        <w:rPr>
          <w:color w:val="FFFFFF"/>
          <w:spacing w:val="-2"/>
          <w:w w:val="105"/>
          <w:sz w:val="18"/>
        </w:rPr>
        <w:t>reports)</w:t>
      </w:r>
    </w:p>
    <w:p>
      <w:pPr>
        <w:pStyle w:val="ListParagraph"/>
        <w:numPr>
          <w:ilvl w:val="1"/>
          <w:numId w:val="1"/>
        </w:numPr>
        <w:tabs>
          <w:tab w:pos="800" w:val="left" w:leader="none"/>
          <w:tab w:pos="802" w:val="left" w:leader="none"/>
        </w:tabs>
        <w:spacing w:line="196" w:lineRule="auto" w:before="97" w:after="0"/>
        <w:ind w:left="802" w:right="259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Oversaw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11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franchise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locations;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consolidated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 labor into a single owner report.</w:t>
      </w:r>
    </w:p>
    <w:p>
      <w:pPr>
        <w:pStyle w:val="ListParagraph"/>
        <w:numPr>
          <w:ilvl w:val="1"/>
          <w:numId w:val="1"/>
        </w:numPr>
        <w:tabs>
          <w:tab w:pos="800" w:val="left" w:leader="none"/>
          <w:tab w:pos="802" w:val="left" w:leader="none"/>
        </w:tabs>
        <w:spacing w:line="208" w:lineRule="auto" w:before="86" w:after="0"/>
        <w:ind w:left="802" w:right="219" w:hanging="298"/>
        <w:jc w:val="left"/>
        <w:rPr>
          <w:sz w:val="16"/>
        </w:rPr>
      </w:pPr>
      <w:r>
        <w:rPr>
          <w:w w:val="105"/>
          <w:sz w:val="16"/>
        </w:rPr>
        <w:t>Caught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$112K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payroll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tax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misclassification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2012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review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worked the IRS abatement.</w:t>
      </w:r>
    </w:p>
    <w:p>
      <w:pPr>
        <w:pStyle w:val="ListParagraph"/>
        <w:numPr>
          <w:ilvl w:val="1"/>
          <w:numId w:val="1"/>
        </w:numPr>
        <w:tabs>
          <w:tab w:pos="800" w:val="left" w:leader="none"/>
        </w:tabs>
        <w:spacing w:line="336" w:lineRule="exact" w:before="54" w:after="0"/>
        <w:ind w:left="800" w:right="0" w:hanging="296"/>
        <w:jc w:val="left"/>
        <w:rPr>
          <w:sz w:val="16"/>
        </w:rPr>
      </w:pPr>
      <w:r>
        <w:rPr>
          <w:w w:val="105"/>
          <w:sz w:val="16"/>
        </w:rPr>
        <w:t>Standardized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vendor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pricing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oil,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filters,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uniforms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25"/>
          <w:w w:val="105"/>
          <w:sz w:val="16"/>
        </w:rPr>
        <w:t> </w:t>
      </w:r>
      <w:r>
        <w:rPr>
          <w:spacing w:val="-2"/>
          <w:w w:val="105"/>
          <w:sz w:val="16"/>
        </w:rPr>
        <w:t>stores.</w:t>
      </w:r>
    </w:p>
    <w:p>
      <w:pPr>
        <w:pStyle w:val="ListParagraph"/>
        <w:numPr>
          <w:ilvl w:val="1"/>
          <w:numId w:val="1"/>
        </w:numPr>
        <w:tabs>
          <w:tab w:pos="800" w:val="left" w:leader="none"/>
          <w:tab w:pos="802" w:val="left" w:leader="none"/>
        </w:tabs>
        <w:spacing w:line="208" w:lineRule="auto" w:before="10" w:after="0"/>
        <w:ind w:left="802" w:right="79" w:hanging="298"/>
        <w:jc w:val="left"/>
        <w:rPr>
          <w:sz w:val="16"/>
        </w:rPr>
      </w:pPr>
      <w:r>
        <w:rPr>
          <w:w w:val="105"/>
          <w:sz w:val="16"/>
        </w:rPr>
        <w:t>Hired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trained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regional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owner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could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step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out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daily </w:t>
      </w:r>
      <w:r>
        <w:rPr>
          <w:spacing w:val="-2"/>
          <w:w w:val="105"/>
          <w:sz w:val="16"/>
        </w:rPr>
        <w:t>operations.</w:t>
      </w:r>
    </w:p>
    <w:p>
      <w:pPr>
        <w:pStyle w:val="BodyText"/>
        <w:spacing w:before="82"/>
      </w:pPr>
    </w:p>
    <w:p>
      <w:pPr>
        <w:spacing w:before="0"/>
        <w:ind w:left="281" w:right="0" w:firstLine="0"/>
        <w:jc w:val="left"/>
        <w:rPr>
          <w:sz w:val="18"/>
        </w:rPr>
      </w:pPr>
      <w:r>
        <w:rPr>
          <w:spacing w:val="2"/>
          <w:sz w:val="18"/>
        </w:rPr>
        <w:t>Operations</w:t>
      </w:r>
      <w:r>
        <w:rPr>
          <w:spacing w:val="31"/>
          <w:sz w:val="18"/>
        </w:rPr>
        <w:t> </w:t>
      </w:r>
      <w:r>
        <w:rPr>
          <w:spacing w:val="-2"/>
          <w:sz w:val="18"/>
        </w:rPr>
        <w:t>Analyst</w:t>
      </w:r>
    </w:p>
    <w:p>
      <w:pPr>
        <w:spacing w:before="49"/>
        <w:ind w:left="281" w:right="0" w:firstLine="0"/>
        <w:jc w:val="left"/>
        <w:rPr>
          <w:sz w:val="18"/>
        </w:rPr>
      </w:pPr>
      <w:r>
        <w:rPr>
          <w:w w:val="105"/>
          <w:sz w:val="18"/>
        </w:rPr>
        <w:t>Brightline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Logistics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Co.,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Paso,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TX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2008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7"/>
          <w:w w:val="105"/>
          <w:sz w:val="18"/>
        </w:rPr>
        <w:t> </w:t>
      </w:r>
      <w:r>
        <w:rPr>
          <w:spacing w:val="-4"/>
          <w:w w:val="105"/>
          <w:sz w:val="18"/>
        </w:rPr>
        <w:t>2010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980" w:bottom="280" w:left="425" w:right="283"/>
          <w:cols w:num="2" w:equalWidth="0">
            <w:col w:w="2908" w:space="1147"/>
            <w:col w:w="7157"/>
          </w:cols>
        </w:sectPr>
      </w:pPr>
    </w:p>
    <w:p>
      <w:pPr>
        <w:pStyle w:val="ListParagraph"/>
        <w:numPr>
          <w:ilvl w:val="2"/>
          <w:numId w:val="1"/>
        </w:numPr>
        <w:tabs>
          <w:tab w:pos="4855" w:val="left" w:leader="none"/>
        </w:tabs>
        <w:spacing w:line="343" w:lineRule="exact" w:before="106" w:after="0"/>
        <w:ind w:left="4855" w:right="0" w:hanging="296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5950" y="1485900"/>
                            <a:ext cx="4762500" cy="921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 h="9218930">
                                <a:moveTo>
                                  <a:pt x="0" y="9218675"/>
                                </a:moveTo>
                                <a:lnTo>
                                  <a:pt x="4762233" y="9218675"/>
                                </a:lnTo>
                                <a:lnTo>
                                  <a:pt x="4762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606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065" h="9295130">
                                <a:moveTo>
                                  <a:pt x="0" y="9294875"/>
                                </a:moveTo>
                                <a:lnTo>
                                  <a:pt x="2805950" y="9294875"/>
                                </a:lnTo>
                                <a:lnTo>
                                  <a:pt x="2805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85750"/>
                            <a:ext cx="2238374" cy="2238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47674" y="31432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19449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47674" y="35242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568" y="3600450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47674" y="38957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43" y="3971925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809874" y="0"/>
                            <a:ext cx="475869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485900">
                                <a:moveTo>
                                  <a:pt x="4758308" y="1485899"/>
                                </a:moveTo>
                                <a:lnTo>
                                  <a:pt x="0" y="148589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485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19424" y="1457324"/>
                            <a:ext cx="42481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0" h="28575">
                                <a:moveTo>
                                  <a:pt x="42481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48149" y="0"/>
                                </a:lnTo>
                                <a:lnTo>
                                  <a:pt x="42481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2782" y="265518"/>
                            <a:ext cx="2290445" cy="229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0445" h="2290445">
                                <a:moveTo>
                                  <a:pt x="1144982" y="0"/>
                                </a:moveTo>
                                <a:lnTo>
                                  <a:pt x="2289965" y="1144982"/>
                                </a:lnTo>
                                <a:lnTo>
                                  <a:pt x="1144982" y="2289965"/>
                                </a:lnTo>
                                <a:lnTo>
                                  <a:pt x="0" y="1144982"/>
                                </a:lnTo>
                                <a:lnTo>
                                  <a:pt x="1144982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5F5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5pt;width:595.950pt;height:842.9pt;mso-position-horizontal-relative:page;mso-position-vertical-relative:page;z-index:-15792640" id="docshapegroup1" coordorigin="0,0" coordsize="11919,16858">
                <v:rect style="position:absolute;left:4418;top:2340;width:7500;height:14518" id="docshape2" filled="true" fillcolor="#f5f5f5" stroked="false">
                  <v:fill type="solid"/>
                </v:rect>
                <v:rect style="position:absolute;left:0;top:2220;width:4419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50;top:450;width:3525;height:3525" type="#_x0000_t75" id="docshape5" stroked="false">
                  <v:imagedata r:id="rId5" o:title=""/>
                </v:shape>
                <v:shape style="position:absolute;left:705;top:4950;width:525;height:525" id="docshape6" coordorigin="705,4950" coordsize="525,525" path="m965,5475l902,5467,843,5444,791,5408,749,5359,720,5302,706,5240,705,5215,705,5198,716,5135,742,5077,781,5026,832,4987,890,4961,953,4950,970,4950,982,4950,1045,4961,1103,4987,1154,5026,1193,5077,1219,5135,1230,5198,1230,5215,1230,5227,1219,5290,1193,5348,1154,5399,1103,5438,1045,5464,982,5475,965,5475xe" filled="true" fillcolor="#e78f37" stroked="false">
                  <v:path arrowok="t"/>
                  <v:fill type="solid"/>
                </v:shape>
                <v:shape style="position:absolute;left:825;top:5070;width:279;height:279" type="#_x0000_t75" id="docshape7" stroked="false">
                  <v:imagedata r:id="rId6" o:title=""/>
                </v:shape>
                <v:shape style="position:absolute;left:705;top:5550;width:525;height:510" id="docshape8" coordorigin="705,5550" coordsize="525,510" path="m975,6060l960,6060,947,6060,886,6049,829,6024,780,5985,741,5936,716,5879,705,5818,705,5805,705,5792,716,5731,741,5674,780,5625,829,5586,886,5561,947,5550,960,5550,975,5550,1037,5558,1095,5580,1146,5616,1187,5663,1215,5719,1229,5780,1230,5805,1230,5818,1219,5879,1194,5936,1155,5985,1106,6024,1049,6049,988,6060,975,6060xe" filled="true" fillcolor="#e78f37" stroked="false">
                  <v:path arrowok="t"/>
                  <v:fill type="solid"/>
                </v:shape>
                <v:shape style="position:absolute;left:843;top:5670;width:243;height:270" type="#_x0000_t75" id="docshape9" stroked="false">
                  <v:imagedata r:id="rId7" o:title=""/>
                </v:shape>
                <v:shape style="position:absolute;left:705;top:6135;width:525;height:525" id="docshape10" coordorigin="705,6135" coordsize="525,525" path="m965,6660l902,6652,843,6629,791,6593,749,6544,720,6487,706,6425,705,6400,705,6383,716,6320,742,6262,781,6211,832,6172,890,6146,953,6135,970,6135,982,6135,1045,6146,1103,6172,1154,6211,1193,6262,1219,6320,1230,6383,1230,6400,1230,6412,1219,6475,1193,6533,1154,6584,1103,6623,1045,6649,982,6660,965,6660xe" filled="true" fillcolor="#e78f37" stroked="false">
                  <v:path arrowok="t"/>
                  <v:fill type="solid"/>
                </v:shape>
                <v:shape style="position:absolute;left:825;top:6255;width:278;height:279" type="#_x0000_t75" id="docshape11" stroked="false">
                  <v:imagedata r:id="rId8" o:title=""/>
                </v:shape>
                <v:rect style="position:absolute;left:4425;top:0;width:7494;height:2340" id="docshape12" filled="true" fillcolor="#ffffff" stroked="false">
                  <v:fill type="solid"/>
                </v:rect>
                <v:rect style="position:absolute;left:4755;top:2295;width:6690;height:45" id="docshape13" filled="true" fillcolor="#e78f37" stroked="false">
                  <v:fill type="solid"/>
                </v:rect>
                <v:shape style="position:absolute;left:413;top:418;width:3607;height:3607" id="docshape14" coordorigin="414,418" coordsize="3607,3607" path="m2217,418l4020,2221,2217,4024,414,2221,2217,418xe" filled="false" stroked="true" strokeweight="3.0pt" strokecolor="#f5f5f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105"/>
          <w:sz w:val="16"/>
        </w:rPr>
        <w:t>Built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routing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labor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variance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reports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60-truck</w:t>
      </w:r>
      <w:r>
        <w:rPr>
          <w:spacing w:val="22"/>
          <w:w w:val="105"/>
          <w:sz w:val="16"/>
        </w:rPr>
        <w:t> </w:t>
      </w:r>
      <w:r>
        <w:rPr>
          <w:spacing w:val="-2"/>
          <w:w w:val="105"/>
          <w:sz w:val="16"/>
        </w:rPr>
        <w:t>fleet.</w:t>
      </w:r>
    </w:p>
    <w:p>
      <w:pPr>
        <w:pStyle w:val="ListParagraph"/>
        <w:numPr>
          <w:ilvl w:val="2"/>
          <w:numId w:val="1"/>
        </w:numPr>
        <w:tabs>
          <w:tab w:pos="4855" w:val="left" w:leader="none"/>
        </w:tabs>
        <w:spacing w:line="343" w:lineRule="exact" w:before="0" w:after="0"/>
        <w:ind w:left="4855" w:right="0" w:hanging="296"/>
        <w:jc w:val="left"/>
        <w:rPr>
          <w:sz w:val="16"/>
        </w:rPr>
      </w:pPr>
      <w:r>
        <w:rPr>
          <w:w w:val="105"/>
          <w:sz w:val="16"/>
        </w:rPr>
        <w:t>Supported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controller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month-end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close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bank</w:t>
      </w:r>
      <w:r>
        <w:rPr>
          <w:spacing w:val="26"/>
          <w:w w:val="105"/>
          <w:sz w:val="16"/>
        </w:rPr>
        <w:t> </w:t>
      </w:r>
      <w:r>
        <w:rPr>
          <w:spacing w:val="-2"/>
          <w:w w:val="105"/>
          <w:sz w:val="16"/>
        </w:rPr>
        <w:t>package.</w:t>
      </w:r>
    </w:p>
    <w:p>
      <w:pPr>
        <w:pStyle w:val="ListParagraph"/>
        <w:spacing w:after="0" w:line="343" w:lineRule="exact"/>
        <w:jc w:val="left"/>
        <w:rPr>
          <w:sz w:val="16"/>
        </w:rPr>
        <w:sectPr>
          <w:type w:val="continuous"/>
          <w:pgSz w:w="11920" w:h="16860"/>
          <w:pgMar w:top="980" w:bottom="280" w:left="425" w:right="283"/>
        </w:sectPr>
      </w:pPr>
    </w:p>
    <w:p>
      <w:pPr>
        <w:pStyle w:val="ListParagraph"/>
        <w:numPr>
          <w:ilvl w:val="2"/>
          <w:numId w:val="1"/>
        </w:numPr>
        <w:tabs>
          <w:tab w:pos="4854" w:val="left" w:leader="none"/>
          <w:tab w:pos="4856" w:val="left" w:leader="none"/>
        </w:tabs>
        <w:spacing w:line="196" w:lineRule="auto" w:before="113" w:after="0"/>
        <w:ind w:left="4856" w:right="353" w:hanging="298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805950" y="0"/>
                            <a:ext cx="476250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 h="10704830">
                                <a:moveTo>
                                  <a:pt x="0" y="10704575"/>
                                </a:moveTo>
                                <a:lnTo>
                                  <a:pt x="4762233" y="10704575"/>
                                </a:lnTo>
                                <a:lnTo>
                                  <a:pt x="4762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806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065" h="10704830">
                                <a:moveTo>
                                  <a:pt x="0" y="0"/>
                                </a:moveTo>
                                <a:lnTo>
                                  <a:pt x="2805950" y="0"/>
                                </a:lnTo>
                                <a:lnTo>
                                  <a:pt x="2805950" y="10704575"/>
                                </a:lnTo>
                                <a:lnTo>
                                  <a:pt x="0" y="10704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09874" y="323849"/>
                            <a:ext cx="475869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714375">
                                <a:moveTo>
                                  <a:pt x="4758308" y="714374"/>
                                </a:moveTo>
                                <a:lnTo>
                                  <a:pt x="0" y="7143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.000004pt;width:595.950pt;height:842.9pt;mso-position-horizontal-relative:page;mso-position-vertical-relative:page;z-index:-15792128" id="docshapegroup15" coordorigin="0,0" coordsize="11919,16858">
                <v:rect style="position:absolute;left:4418;top:0;width:7500;height:16858" id="docshape16" filled="true" fillcolor="#f5f5f5" stroked="false">
                  <v:fill type="solid"/>
                </v:rect>
                <v:rect style="position:absolute;left:0;top:0;width:4419;height:16858" id="docshape17" filled="true" fillcolor="#0c5394" stroked="false">
                  <v:fill type="solid"/>
                </v:rect>
                <v:rect style="position:absolute;left:4425;top:510;width:7494;height:1125" id="docshape18" filled="true" fillcolor="#f5f5f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6"/>
        </w:rPr>
        <w:t>Identified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fuel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surcharge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billing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gap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recovered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around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$80K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first quarter after rollout.</w:t>
      </w:r>
    </w:p>
    <w:sectPr>
      <w:pgSz w:w="11920" w:h="16860"/>
      <w:pgMar w:top="34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1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5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4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2026-06-29T18:39:59Z</dcterms:created>
  <dcterms:modified xsi:type="dcterms:W3CDTF">2026-06-29T18:39:59Z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2026-06-29T00:00:00Z</vt:filetime>
  </property>
  <property fmtid="{D5CDD505-2E9C-101B-9397-08002B2CF9AE}" pid="5" name="Producer">
    <vt:lpwstr>pdf-merger-js</vt:lpwstr>
  </property>
</Properties>
</file>