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tabs>
          <w:tab w:pos="4590" w:val="left" w:leader="none"/>
        </w:tabs>
        <w:spacing w:line="240" w:lineRule="auto"/>
        <w:ind w:left="0" w:right="-58" w:firstLine="0"/>
        <w:rPr>
          <w:rFonts w:ascii="Times New Roman"/>
          <w:position w:val="19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24100" cy="4762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588981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83pt;height:37.5pt;mso-position-horizontal-relative:char;mso-position-vertical-relative:line" type="#_x0000_t202" id="docshape1" filled="true" fillcolor="#588981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CONTACT</w:t>
                      </w:r>
                      <w:r>
                        <w:rPr>
                          <w:b/>
                          <w:color w:val="FFFFF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INFORMATION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  <mc:AlternateContent>
          <mc:Choice Requires="wps">
            <w:drawing>
              <wp:inline distT="0" distB="0" distL="0" distR="0">
                <wp:extent cx="4653915" cy="35242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53915" cy="352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357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588981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588981"/>
                                <w:spacing w:val="6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8981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66.45pt;height:27.75pt;mso-position-horizontal-relative:char;mso-position-vertical-relative:line" type="#_x0000_t202" id="docshape2" filled="true" fillcolor="#d9d9d9" stroked="false">
                <w10:anchorlock/>
                <v:textbox inset="0,0,0,0">
                  <w:txbxContent>
                    <w:p>
                      <w:pPr>
                        <w:spacing w:before="123"/>
                        <w:ind w:left="357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588981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588981"/>
                          <w:spacing w:val="6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588981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position w:val="19"/>
          <w:sz w:val="20"/>
        </w:rPr>
      </w:r>
    </w:p>
    <w:p>
      <w:pPr>
        <w:spacing w:after="0" w:line="240" w:lineRule="auto"/>
        <w:rPr>
          <w:rFonts w:ascii="Times New Roman"/>
          <w:position w:val="19"/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194"/>
        <w:rPr>
          <w:rFonts w:ascii="Times New Roman"/>
        </w:rPr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352427</wp:posOffset>
            </wp:positionH>
            <wp:positionV relativeFrom="paragraph">
              <wp:posOffset>-35548</wp:posOffset>
            </wp:positionV>
            <wp:extent cx="224281" cy="22427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1" cy="2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(704)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0182</w:t>
      </w:r>
    </w:p>
    <w:p>
      <w:pPr>
        <w:pStyle w:val="BodyText"/>
        <w:spacing w:line="268" w:lineRule="auto" w:before="14"/>
        <w:ind w:left="555" w:right="2199"/>
      </w:pPr>
      <w:r>
        <w:rPr/>
        <w:br w:type="column"/>
      </w:r>
      <w:r>
        <w:rPr/>
        <w:t>Chief</w:t>
      </w:r>
      <w:r>
        <w:rPr>
          <w:spacing w:val="40"/>
        </w:rPr>
        <w:t> </w:t>
      </w:r>
      <w:r>
        <w:rPr/>
        <w:t>Financial</w:t>
      </w:r>
      <w:r>
        <w:rPr>
          <w:spacing w:val="40"/>
        </w:rPr>
        <w:t> </w:t>
      </w:r>
      <w:r>
        <w:rPr/>
        <w:t>Officer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Brightwater Analytics,</w:t>
      </w:r>
      <w:r>
        <w:rPr>
          <w:spacing w:val="40"/>
        </w:rPr>
        <w:t> </w:t>
      </w:r>
      <w:r>
        <w:rPr/>
        <w:t>Charlotte,</w:t>
      </w:r>
      <w:r>
        <w:rPr>
          <w:spacing w:val="40"/>
        </w:rPr>
        <w:t> </w:t>
      </w:r>
      <w:r>
        <w:rPr/>
        <w:t>NC</w:t>
      </w:r>
      <w:r>
        <w:rPr>
          <w:spacing w:val="40"/>
        </w:rPr>
        <w:t> </w:t>
      </w:r>
      <w:r>
        <w:rPr>
          <w:position w:val="2"/>
        </w:rPr>
        <w:t>| </w:t>
      </w:r>
      <w:r>
        <w:rPr/>
        <w:t>2020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  <w:cols w:num="2" w:equalWidth="0">
            <w:col w:w="2390" w:space="1519"/>
            <w:col w:w="8011"/>
          </w:cols>
        </w:sectPr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line="681" w:lineRule="auto"/>
        <w:ind w:left="554" w:firstLine="52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352442</wp:posOffset>
                </wp:positionH>
                <wp:positionV relativeFrom="paragraph">
                  <wp:posOffset>-54565</wp:posOffset>
                </wp:positionV>
                <wp:extent cx="224790" cy="2584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479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58445">
                              <a:moveTo>
                                <a:pt x="149499" y="33081"/>
                              </a:moveTo>
                              <a:lnTo>
                                <a:pt x="74792" y="33081"/>
                              </a:lnTo>
                              <a:lnTo>
                                <a:pt x="112124" y="0"/>
                              </a:lnTo>
                              <a:lnTo>
                                <a:pt x="149499" y="33081"/>
                              </a:lnTo>
                              <a:close/>
                            </a:path>
                            <a:path w="224790" h="258445">
                              <a:moveTo>
                                <a:pt x="224249" y="258250"/>
                              </a:moveTo>
                              <a:lnTo>
                                <a:pt x="0" y="258250"/>
                              </a:lnTo>
                              <a:lnTo>
                                <a:pt x="0" y="99321"/>
                              </a:lnTo>
                              <a:lnTo>
                                <a:pt x="39559" y="64246"/>
                              </a:lnTo>
                              <a:lnTo>
                                <a:pt x="39559" y="33081"/>
                              </a:lnTo>
                              <a:lnTo>
                                <a:pt x="184689" y="33081"/>
                              </a:lnTo>
                              <a:lnTo>
                                <a:pt x="184689" y="46344"/>
                              </a:lnTo>
                              <a:lnTo>
                                <a:pt x="52746" y="46344"/>
                              </a:lnTo>
                              <a:lnTo>
                                <a:pt x="52746" y="112584"/>
                              </a:lnTo>
                              <a:lnTo>
                                <a:pt x="13186" y="112584"/>
                              </a:lnTo>
                              <a:lnTo>
                                <a:pt x="13186" y="231762"/>
                              </a:lnTo>
                              <a:lnTo>
                                <a:pt x="27346" y="231762"/>
                              </a:lnTo>
                              <a:lnTo>
                                <a:pt x="13186" y="245025"/>
                              </a:lnTo>
                              <a:lnTo>
                                <a:pt x="224249" y="245025"/>
                              </a:lnTo>
                              <a:lnTo>
                                <a:pt x="224249" y="258250"/>
                              </a:lnTo>
                              <a:close/>
                            </a:path>
                            <a:path w="224790" h="258445">
                              <a:moveTo>
                                <a:pt x="152473" y="165522"/>
                              </a:moveTo>
                              <a:lnTo>
                                <a:pt x="138459" y="165522"/>
                              </a:lnTo>
                              <a:lnTo>
                                <a:pt x="171502" y="136389"/>
                              </a:lnTo>
                              <a:lnTo>
                                <a:pt x="171502" y="46344"/>
                              </a:lnTo>
                              <a:lnTo>
                                <a:pt x="184689" y="46344"/>
                              </a:lnTo>
                              <a:lnTo>
                                <a:pt x="184689" y="64246"/>
                              </a:lnTo>
                              <a:lnTo>
                                <a:pt x="224249" y="99321"/>
                              </a:lnTo>
                              <a:lnTo>
                                <a:pt x="224249" y="112584"/>
                              </a:lnTo>
                              <a:lnTo>
                                <a:pt x="211062" y="112584"/>
                              </a:lnTo>
                              <a:lnTo>
                                <a:pt x="152473" y="165522"/>
                              </a:lnTo>
                              <a:close/>
                            </a:path>
                            <a:path w="224790" h="258445">
                              <a:moveTo>
                                <a:pt x="158277" y="72833"/>
                              </a:moveTo>
                              <a:lnTo>
                                <a:pt x="65933" y="72833"/>
                              </a:lnTo>
                              <a:lnTo>
                                <a:pt x="65933" y="59569"/>
                              </a:lnTo>
                              <a:lnTo>
                                <a:pt x="158277" y="59569"/>
                              </a:lnTo>
                              <a:lnTo>
                                <a:pt x="158277" y="72833"/>
                              </a:lnTo>
                              <a:close/>
                            </a:path>
                            <a:path w="224790" h="258445">
                              <a:moveTo>
                                <a:pt x="158316" y="99321"/>
                              </a:moveTo>
                              <a:lnTo>
                                <a:pt x="65971" y="99321"/>
                              </a:lnTo>
                              <a:lnTo>
                                <a:pt x="65971" y="86096"/>
                              </a:lnTo>
                              <a:lnTo>
                                <a:pt x="158316" y="86096"/>
                              </a:lnTo>
                              <a:lnTo>
                                <a:pt x="158316" y="99321"/>
                              </a:lnTo>
                              <a:close/>
                            </a:path>
                            <a:path w="224790" h="258445">
                              <a:moveTo>
                                <a:pt x="27346" y="231762"/>
                              </a:moveTo>
                              <a:lnTo>
                                <a:pt x="13186" y="231762"/>
                              </a:lnTo>
                              <a:lnTo>
                                <a:pt x="79158" y="172154"/>
                              </a:lnTo>
                              <a:lnTo>
                                <a:pt x="13186" y="112584"/>
                              </a:lnTo>
                              <a:lnTo>
                                <a:pt x="52746" y="112584"/>
                              </a:lnTo>
                              <a:lnTo>
                                <a:pt x="52746" y="136389"/>
                              </a:lnTo>
                              <a:lnTo>
                                <a:pt x="85712" y="165522"/>
                              </a:lnTo>
                              <a:lnTo>
                                <a:pt x="152473" y="165522"/>
                              </a:lnTo>
                              <a:lnTo>
                                <a:pt x="145133" y="172154"/>
                              </a:lnTo>
                              <a:lnTo>
                                <a:pt x="148485" y="175259"/>
                              </a:lnTo>
                              <a:lnTo>
                                <a:pt x="87667" y="175259"/>
                              </a:lnTo>
                              <a:lnTo>
                                <a:pt x="27346" y="231762"/>
                              </a:lnTo>
                              <a:close/>
                            </a:path>
                            <a:path w="224790" h="258445">
                              <a:moveTo>
                                <a:pt x="158277" y="125809"/>
                              </a:moveTo>
                              <a:lnTo>
                                <a:pt x="65933" y="125809"/>
                              </a:lnTo>
                              <a:lnTo>
                                <a:pt x="65933" y="112584"/>
                              </a:lnTo>
                              <a:lnTo>
                                <a:pt x="158277" y="112584"/>
                              </a:lnTo>
                              <a:lnTo>
                                <a:pt x="158277" y="125809"/>
                              </a:lnTo>
                              <a:close/>
                            </a:path>
                            <a:path w="224790" h="258445">
                              <a:moveTo>
                                <a:pt x="224249" y="231762"/>
                              </a:moveTo>
                              <a:lnTo>
                                <a:pt x="211062" y="231762"/>
                              </a:lnTo>
                              <a:lnTo>
                                <a:pt x="211062" y="112584"/>
                              </a:lnTo>
                              <a:lnTo>
                                <a:pt x="224249" y="112584"/>
                              </a:lnTo>
                              <a:lnTo>
                                <a:pt x="224249" y="231762"/>
                              </a:lnTo>
                              <a:close/>
                            </a:path>
                            <a:path w="224790" h="258445">
                              <a:moveTo>
                                <a:pt x="224249" y="245025"/>
                              </a:moveTo>
                              <a:lnTo>
                                <a:pt x="211100" y="245025"/>
                              </a:lnTo>
                              <a:lnTo>
                                <a:pt x="136619" y="175259"/>
                              </a:lnTo>
                              <a:lnTo>
                                <a:pt x="148485" y="175259"/>
                              </a:lnTo>
                              <a:lnTo>
                                <a:pt x="211020" y="231762"/>
                              </a:lnTo>
                              <a:lnTo>
                                <a:pt x="224249" y="231762"/>
                              </a:lnTo>
                              <a:lnTo>
                                <a:pt x="224249" y="2450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751371pt;margin-top:-4.29648pt;width:17.7pt;height:20.350pt;mso-position-horizontal-relative:page;mso-position-vertical-relative:paragraph;z-index:15730688" id="docshape3" coordorigin="555,-86" coordsize="354,407" path="m790,-34l673,-34,732,-86,790,-34xm908,321l555,321,555,70,617,15,617,-34,846,-34,846,-13,638,-13,638,91,576,91,576,279,598,279,576,300,908,300,908,321xm795,175l773,175,825,129,825,-13,846,-13,846,15,908,70,908,91,887,91,795,175xm804,29l659,29,659,8,804,8,804,29xm804,70l659,70,659,50,804,50,804,70xm598,279l576,279,680,185,576,91,638,91,638,129,690,175,795,175,784,185,789,190,693,190,598,279xm804,112l659,112,659,91,804,91,804,112xm908,279l887,279,887,91,908,91,908,279xm908,300l887,300,770,190,789,190,887,279,908,279,908,3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ragraph">
                  <wp:posOffset>859834</wp:posOffset>
                </wp:positionV>
                <wp:extent cx="2324100" cy="46672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588981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67.703506pt;width:183pt;height:36.75pt;mso-position-horizontal-relative:page;mso-position-vertical-relative:paragraph;z-index:15731712" type="#_x0000_t202" id="docshape4" filled="true" fillcolor="#588981" stroked="false"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hyperlink r:id="rId6">
        <w:r>
          <w:rPr>
            <w:spacing w:val="-2"/>
          </w:rPr>
          <w:t>m.holloway@example.com</w:t>
        </w:r>
      </w:hyperlink>
      <w:r>
        <w:rPr>
          <w:spacing w:val="-2"/>
        </w:rPr>
        <w:t> </w:t>
      </w:r>
      <w:r>
        <w:rPr>
          <w:position w:val="-11"/>
        </w:rPr>
        <w:drawing>
          <wp:inline distT="0" distB="0" distL="0" distR="0">
            <wp:extent cx="224229" cy="21907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05"/>
        </w:rPr>
        <w:t> </w:t>
      </w:r>
      <w:r>
        <w:rPr>
          <w:w w:val="105"/>
        </w:rPr>
        <w:t>Charlotte, NC 12345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spacing w:line="268" w:lineRule="auto"/>
        <w:ind w:left="557"/>
      </w:pPr>
      <w:r>
        <w:rPr>
          <w:w w:val="105"/>
        </w:rPr>
        <w:t>MBA, Finance, University of Michigan Ross School of Business, 2011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68" w:lineRule="auto"/>
        <w:ind w:left="557"/>
      </w:pPr>
      <w:r>
        <w:rPr>
          <w:w w:val="105"/>
        </w:rPr>
        <w:t>BS, Accounting, Indiana University Kelley School of Business, 2006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557"/>
      </w:pPr>
      <w:r>
        <w:rPr>
          <w:w w:val="105"/>
        </w:rPr>
        <w:t>CPA,</w:t>
      </w:r>
      <w:r>
        <w:rPr>
          <w:spacing w:val="2"/>
          <w:w w:val="105"/>
        </w:rPr>
        <w:t> </w:t>
      </w:r>
      <w:r>
        <w:rPr>
          <w:w w:val="105"/>
        </w:rPr>
        <w:t>State</w:t>
      </w:r>
      <w:r>
        <w:rPr>
          <w:spacing w:val="3"/>
          <w:w w:val="105"/>
        </w:rPr>
        <w:t> </w:t>
      </w:r>
      <w:r>
        <w:rPr>
          <w:w w:val="105"/>
        </w:rPr>
        <w:t>of</w:t>
      </w:r>
      <w:r>
        <w:rPr>
          <w:spacing w:val="3"/>
          <w:w w:val="105"/>
        </w:rPr>
        <w:t> </w:t>
      </w:r>
      <w:r>
        <w:rPr>
          <w:w w:val="105"/>
        </w:rPr>
        <w:t>Indiana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(active)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4" w:lineRule="auto" w:before="70" w:after="0"/>
        <w:ind w:left="1168" w:right="697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Led Series C raise of $84M from a syndicate of three growth investors, negotiating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pre-money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up-round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prior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round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despite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softer</w:t>
      </w:r>
    </w:p>
    <w:p>
      <w:pPr>
        <w:pStyle w:val="BodyText"/>
        <w:spacing w:before="39"/>
        <w:ind w:left="1168"/>
      </w:pPr>
      <w:r>
        <w:rPr>
          <w:w w:val="105"/>
        </w:rPr>
        <w:t>multiples</w:t>
      </w:r>
      <w:r>
        <w:rPr>
          <w:spacing w:val="26"/>
          <w:w w:val="105"/>
        </w:rPr>
        <w:t> </w:t>
      </w:r>
      <w:r>
        <w:rPr>
          <w:spacing w:val="-2"/>
          <w:w w:val="105"/>
        </w:rPr>
        <w:t>environment.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75" w:after="0"/>
        <w:ind w:left="1168" w:right="460" w:hanging="298"/>
        <w:jc w:val="left"/>
        <w:rPr>
          <w:position w:val="-4"/>
          <w:sz w:val="31"/>
        </w:rPr>
      </w:pPr>
      <w:r>
        <w:rPr>
          <w:w w:val="105"/>
          <w:sz w:val="18"/>
        </w:rPr>
        <w:t>Rebuilt the 3-statement model and cohort dashboards used by the board,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cutting monthly close from 14 days to 6.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8" w:after="0"/>
        <w:ind w:left="1168" w:right="521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Hired controller, FP&amp;A director, and revenue ops lead; finance team grew from 4 to 17 over three years.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8" w:after="0"/>
        <w:ind w:left="1168" w:right="266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 with CEO on two tuck-in acquisitions, ran quality of earnings work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in-house instead of using a Big 4 advisor.</w:t>
      </w:r>
    </w:p>
    <w:p>
      <w:pPr>
        <w:pStyle w:val="ListParagraph"/>
        <w:numPr>
          <w:ilvl w:val="0"/>
          <w:numId w:val="1"/>
        </w:numPr>
        <w:tabs>
          <w:tab w:pos="1167" w:val="left" w:leader="none"/>
        </w:tabs>
        <w:spacing w:line="334" w:lineRule="exact" w:before="43" w:after="0"/>
        <w:ind w:left="116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Renegotiated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AWS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commit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agreements,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freeing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roughly</w:t>
      </w:r>
    </w:p>
    <w:p>
      <w:pPr>
        <w:pStyle w:val="BodyText"/>
        <w:spacing w:line="185" w:lineRule="exact"/>
        <w:ind w:left="1168"/>
      </w:pPr>
      <w:r>
        <w:rPr>
          <w:w w:val="105"/>
        </w:rPr>
        <w:t>$2M</w:t>
      </w:r>
      <w:r>
        <w:rPr>
          <w:spacing w:val="13"/>
          <w:w w:val="105"/>
        </w:rPr>
        <w:t> </w:t>
      </w:r>
      <w:r>
        <w:rPr>
          <w:w w:val="105"/>
        </w:rPr>
        <w:t>of</w:t>
      </w:r>
      <w:r>
        <w:rPr>
          <w:spacing w:val="15"/>
          <w:w w:val="105"/>
        </w:rPr>
        <w:t> </w:t>
      </w:r>
      <w:r>
        <w:rPr>
          <w:w w:val="105"/>
        </w:rPr>
        <w:t>annual</w:t>
      </w:r>
      <w:r>
        <w:rPr>
          <w:spacing w:val="14"/>
          <w:w w:val="105"/>
        </w:rPr>
        <w:t> </w:t>
      </w:r>
      <w:r>
        <w:rPr>
          <w:w w:val="105"/>
        </w:rPr>
        <w:t>operating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cash.</w:t>
      </w:r>
    </w:p>
    <w:p>
      <w:pPr>
        <w:pStyle w:val="BodyText"/>
        <w:spacing w:before="160"/>
      </w:pPr>
    </w:p>
    <w:p>
      <w:pPr>
        <w:pStyle w:val="BodyText"/>
        <w:spacing w:line="268" w:lineRule="auto"/>
        <w:ind w:left="554" w:right="2105"/>
      </w:pPr>
      <w:r>
        <w:rPr/>
        <w:t>VP Finance</w:t>
      </w:r>
      <w:r>
        <w:rPr>
          <w:spacing w:val="38"/>
        </w:rPr>
        <w:t> </w:t>
      </w:r>
      <w:r>
        <w:rPr>
          <w:position w:val="2"/>
        </w:rPr>
        <w:t>|</w:t>
      </w:r>
      <w:r>
        <w:rPr>
          <w:spacing w:val="38"/>
          <w:position w:val="2"/>
        </w:rPr>
        <w:t> </w:t>
      </w:r>
      <w:r>
        <w:rPr/>
        <w:t>Keystone</w:t>
      </w:r>
      <w:r>
        <w:rPr>
          <w:spacing w:val="37"/>
        </w:rPr>
        <w:t> </w:t>
      </w:r>
      <w:r>
        <w:rPr/>
        <w:t>Industrial</w:t>
      </w:r>
      <w:r>
        <w:rPr>
          <w:spacing w:val="38"/>
        </w:rPr>
        <w:t> </w:t>
      </w:r>
      <w:r>
        <w:rPr/>
        <w:t>Holdings,</w:t>
      </w:r>
      <w:r>
        <w:rPr>
          <w:spacing w:val="38"/>
        </w:rPr>
        <w:t> </w:t>
      </w:r>
      <w:r>
        <w:rPr/>
        <w:t>Pittsburgh,</w:t>
      </w:r>
      <w:r>
        <w:rPr>
          <w:spacing w:val="38"/>
        </w:rPr>
        <w:t> </w:t>
      </w:r>
      <w:r>
        <w:rPr/>
        <w:t>PA</w:t>
      </w:r>
      <w:r>
        <w:rPr>
          <w:spacing w:val="38"/>
        </w:rPr>
        <w:t> </w:t>
      </w:r>
      <w:r>
        <w:rPr>
          <w:position w:val="2"/>
        </w:rPr>
        <w:t>| </w:t>
      </w:r>
      <w:r>
        <w:rPr/>
        <w:t>2015 – 2020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184" w:after="0"/>
        <w:ind w:left="1168" w:right="802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 FP&amp;A and treasury for a $410M revenue manufacturing roll-up across four operating subsidiaries.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189" w:lineRule="auto" w:before="109" w:after="0"/>
        <w:ind w:left="1168" w:right="27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Refinanced senior credit facility, pulled blended interest rate down by about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180 bps and added a $40M revolver.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98" w:after="0"/>
        <w:ind w:left="1168" w:right="36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 plant-level margin model that surfaced an underpriced product line;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pricing reset added mid-7-figure gross profit in year one.</w:t>
      </w:r>
    </w:p>
    <w:p>
      <w:pPr>
        <w:pStyle w:val="ListParagraph"/>
        <w:numPr>
          <w:ilvl w:val="0"/>
          <w:numId w:val="1"/>
        </w:numPr>
        <w:tabs>
          <w:tab w:pos="1166" w:val="left" w:leader="none"/>
          <w:tab w:pos="1168" w:val="left" w:leader="none"/>
        </w:tabs>
        <w:spacing w:line="201" w:lineRule="auto" w:before="82" w:after="0"/>
        <w:ind w:left="1168" w:right="372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integration finance for the Devlin Pumps acquisition: chart of accounts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conversion, treasury consolidation, ERP cutover in 9 months.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323" w:space="586"/>
            <w:col w:w="8011"/>
          </w:cols>
        </w:sectPr>
      </w:pPr>
    </w:p>
    <w:p>
      <w:pPr>
        <w:pStyle w:val="BodyText"/>
        <w:spacing w:before="6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81"/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4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-656680</wp:posOffset>
                </wp:positionV>
                <wp:extent cx="2324100" cy="46672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588981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51.707119pt;width:183pt;height:36.75pt;mso-position-horizontal-relative:page;mso-position-vertical-relative:paragraph;z-index:15731200" type="#_x0000_t202" id="docshape5" filled="true" fillcolor="#588981" stroked="false"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SKILLS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  <w:sz w:val="18"/>
        </w:rPr>
        <w:t>Capital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raises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(debt</w:t>
      </w:r>
      <w:r>
        <w:rPr>
          <w:spacing w:val="22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pStyle w:val="BodyText"/>
        <w:spacing w:line="85" w:lineRule="exact"/>
        <w:ind w:left="855"/>
      </w:pPr>
      <w:r>
        <w:rPr>
          <w:spacing w:val="-2"/>
          <w:w w:val="105"/>
        </w:rPr>
        <w:t>equity)</w:t>
      </w:r>
    </w:p>
    <w:p>
      <w:pPr>
        <w:pStyle w:val="BodyText"/>
        <w:spacing w:line="268" w:lineRule="auto" w:before="78"/>
        <w:ind w:left="557" w:right="551"/>
      </w:pPr>
      <w:r>
        <w:rPr/>
        <w:br w:type="column"/>
      </w:r>
      <w:r>
        <w:rPr/>
        <w:t>Director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Financial</w:t>
      </w:r>
      <w:r>
        <w:rPr>
          <w:spacing w:val="40"/>
        </w:rPr>
        <w:t> </w:t>
      </w:r>
      <w:r>
        <w:rPr/>
        <w:t>Planning</w:t>
      </w:r>
      <w:r>
        <w:rPr>
          <w:spacing w:val="40"/>
        </w:rPr>
        <w:t> </w:t>
      </w:r>
      <w:r>
        <w:rPr/>
        <w:t>&amp;</w:t>
      </w:r>
      <w:r>
        <w:rPr>
          <w:spacing w:val="26"/>
        </w:rPr>
        <w:t> </w:t>
      </w:r>
      <w:r>
        <w:rPr/>
        <w:t>Analysis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Northpoint</w:t>
      </w:r>
      <w:r>
        <w:rPr>
          <w:spacing w:val="40"/>
        </w:rPr>
        <w:t> </w:t>
      </w:r>
      <w:r>
        <w:rPr/>
        <w:t>Logistics,</w:t>
      </w:r>
      <w:r>
        <w:rPr>
          <w:spacing w:val="40"/>
        </w:rPr>
        <w:t> </w:t>
      </w:r>
      <w:r>
        <w:rPr/>
        <w:t>Indianapolis,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>
          <w:position w:val="2"/>
        </w:rPr>
        <w:t>| </w:t>
      </w:r>
      <w:r>
        <w:rPr/>
        <w:t>2011 – 2015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  <w:cols w:num="2" w:equalWidth="0">
            <w:col w:w="2985" w:space="921"/>
            <w:col w:w="8014"/>
          </w:cols>
        </w:sectPr>
      </w:pP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174" w:after="0"/>
        <w:ind w:left="855" w:right="870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666987" y="12"/>
                            <a:ext cx="4901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10704830">
                                <a:moveTo>
                                  <a:pt x="4901184" y="2400300"/>
                                </a:moveTo>
                                <a:lnTo>
                                  <a:pt x="0" y="2400300"/>
                                </a:lnTo>
                                <a:lnTo>
                                  <a:pt x="0" y="2695575"/>
                                </a:lnTo>
                                <a:lnTo>
                                  <a:pt x="4901184" y="2695575"/>
                                </a:lnTo>
                                <a:lnTo>
                                  <a:pt x="4901184" y="240030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84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276225"/>
                                </a:lnTo>
                                <a:lnTo>
                                  <a:pt x="4901184" y="276225"/>
                                </a:lnTo>
                                <a:lnTo>
                                  <a:pt x="4901184" y="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96" y="5308600"/>
                                </a:moveTo>
                                <a:lnTo>
                                  <a:pt x="4901184" y="3047987"/>
                                </a:lnTo>
                                <a:lnTo>
                                  <a:pt x="0" y="3047987"/>
                                </a:lnTo>
                                <a:lnTo>
                                  <a:pt x="0" y="10382237"/>
                                </a:lnTo>
                                <a:lnTo>
                                  <a:pt x="12" y="10704563"/>
                                </a:lnTo>
                                <a:lnTo>
                                  <a:pt x="4901196" y="10704563"/>
                                </a:lnTo>
                                <a:lnTo>
                                  <a:pt x="4901196" y="530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66999" y="2695574"/>
                            <a:ext cx="2476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352425">
                                <a:moveTo>
                                  <a:pt x="247649" y="352424"/>
                                </a:moveTo>
                                <a:lnTo>
                                  <a:pt x="0" y="3524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352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9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276225"/>
                            <a:ext cx="7568565" cy="2124075"/>
                          </a:xfrm>
                          <a:prstGeom prst="rect">
                            <a:avLst/>
                          </a:prstGeom>
                          <a:solidFill>
                            <a:srgbClr val="588981">
                              <a:alpha val="501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61"/>
                                <w:ind w:left="873" w:right="0" w:firstLine="0"/>
                                <w:jc w:val="left"/>
                                <w:rPr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588981"/>
                                  <w:spacing w:val="11"/>
                                  <w:sz w:val="74"/>
                                </w:rPr>
                                <w:t>Laura</w:t>
                              </w:r>
                              <w:r>
                                <w:rPr>
                                  <w:b/>
                                  <w:color w:val="588981"/>
                                  <w:spacing w:val="32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588981"/>
                                  <w:spacing w:val="6"/>
                                  <w:sz w:val="74"/>
                                </w:rPr>
                                <w:t>King</w:t>
                              </w:r>
                            </w:p>
                            <w:p>
                              <w:pPr>
                                <w:spacing w:before="206"/>
                                <w:ind w:left="87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588981"/>
                                  <w:sz w:val="22"/>
                                </w:rPr>
                                <w:t>Chief</w:t>
                              </w:r>
                              <w:r>
                                <w:rPr>
                                  <w:b/>
                                  <w:color w:val="588981"/>
                                  <w:spacing w:val="3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88981"/>
                                  <w:sz w:val="22"/>
                                </w:rPr>
                                <w:t>Financial</w:t>
                              </w:r>
                              <w:r>
                                <w:rPr>
                                  <w:b/>
                                  <w:color w:val="588981"/>
                                  <w:spacing w:val="3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588981"/>
                                  <w:spacing w:val="-2"/>
                                  <w:sz w:val="22"/>
                                </w:rPr>
                                <w:t>Officer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1119" w:firstLine="0"/>
                                <w:jc w:val="both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CFO with 18 years guiding finance at PE-backed SaaS and industrial companies through scale-ups, refinancings, and two exits. Closed $312M in growth capital across debt and equity rounds and rebuilt FP&amp;A from spreadsheet-based reporting into a board-ready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forecasting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function.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Comfortable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owning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audit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relationship,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partnering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CEO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M&amp;A diligence,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translating unit economics to non-finance operators.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6pt;width:595.950pt;height:842.9pt;mso-position-horizontal-relative:page;mso-position-vertical-relative:page;z-index:-15793152" id="docshapegroup6" coordorigin="0,0" coordsize="11919,16858">
                <v:shape style="position:absolute;left:4199;top:0;width:7719;height:16858" id="docshape7" coordorigin="4200,0" coordsize="7719,16858" path="m11918,3780l4200,3780,4200,4245,11918,4245,11918,3780xm11918,0l4200,0,4200,435,11918,435,11918,0xm11918,8360l11918,8360,11918,4800,4200,4800,4200,16350,4200,16350,4200,16858,11918,16858,11918,8360xe" filled="true" fillcolor="#f5f5f5" stroked="false">
                  <v:path arrowok="t"/>
                  <v:fill type="solid"/>
                </v:shape>
                <v:rect style="position:absolute;left:4200;top:4245;width:390;height:555" id="docshape8" filled="true" fillcolor="#588981" stroked="false">
                  <v:fill type="solid"/>
                </v:rect>
                <v:shape style="position:absolute;left:0;top:435;width:11919;height:3345" type="#_x0000_t202" id="docshape9" filled="true" fillcolor="#588981" stroked="false">
                  <v:textbox inset="0,0,0,0">
                    <w:txbxContent>
                      <w:p>
                        <w:pPr>
                          <w:spacing w:before="461"/>
                          <w:ind w:left="873" w:right="0" w:firstLine="0"/>
                          <w:jc w:val="left"/>
                          <w:rPr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588981"/>
                            <w:spacing w:val="11"/>
                            <w:sz w:val="74"/>
                          </w:rPr>
                          <w:t>Laura</w:t>
                        </w:r>
                        <w:r>
                          <w:rPr>
                            <w:b/>
                            <w:color w:val="588981"/>
                            <w:spacing w:val="32"/>
                            <w:sz w:val="74"/>
                          </w:rPr>
                          <w:t> </w:t>
                        </w:r>
                        <w:r>
                          <w:rPr>
                            <w:color w:val="588981"/>
                            <w:spacing w:val="6"/>
                            <w:sz w:val="74"/>
                          </w:rPr>
                          <w:t>King</w:t>
                        </w:r>
                      </w:p>
                      <w:p>
                        <w:pPr>
                          <w:spacing w:before="206"/>
                          <w:ind w:left="87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588981"/>
                            <w:sz w:val="22"/>
                          </w:rPr>
                          <w:t>Chief</w:t>
                        </w:r>
                        <w:r>
                          <w:rPr>
                            <w:b/>
                            <w:color w:val="588981"/>
                            <w:spacing w:val="3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588981"/>
                            <w:sz w:val="22"/>
                          </w:rPr>
                          <w:t>Financial</w:t>
                        </w:r>
                        <w:r>
                          <w:rPr>
                            <w:b/>
                            <w:color w:val="588981"/>
                            <w:spacing w:val="3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588981"/>
                            <w:spacing w:val="-2"/>
                            <w:sz w:val="22"/>
                          </w:rPr>
                          <w:t>Officer</w:t>
                        </w:r>
                      </w:p>
                      <w:p>
                        <w:pPr>
                          <w:spacing w:line="273" w:lineRule="auto" w:before="194"/>
                          <w:ind w:left="873" w:right="1119" w:firstLine="0"/>
                          <w:jc w:val="both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CFO with 18 years guiding finance at PE-backed SaaS and industrial companies through scale-ups, refinancings, and two exits. Closed $312M in growth capital across debt and equity rounds and rebuilt FP&amp;A from spreadsheet-based reporting into a board-ready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forecasting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function.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Comfortable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owning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audit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relationship,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partnering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CEO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M&amp;A diligence,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translating unit economics to non-finance operators.</w:t>
                        </w:r>
                      </w:p>
                    </w:txbxContent>
                  </v:textbox>
                  <v:fill opacity="32899f"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M&amp;A diligence and </w:t>
      </w:r>
      <w:r>
        <w:rPr>
          <w:spacing w:val="-2"/>
          <w:w w:val="105"/>
          <w:sz w:val="18"/>
        </w:rPr>
        <w:t>integration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109" w:after="0"/>
        <w:ind w:left="855" w:right="580" w:hanging="298"/>
        <w:jc w:val="left"/>
        <w:rPr>
          <w:position w:val="-4"/>
          <w:sz w:val="31"/>
        </w:rPr>
      </w:pPr>
      <w:r>
        <w:rPr>
          <w:w w:val="105"/>
          <w:sz w:val="18"/>
        </w:rPr>
        <w:t>FP&amp;A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3-statement </w:t>
      </w:r>
      <w:r>
        <w:rPr>
          <w:spacing w:val="-2"/>
          <w:w w:val="105"/>
          <w:sz w:val="18"/>
        </w:rPr>
        <w:t>modeling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59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Audit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SOX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readiness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37" w:after="0"/>
        <w:ind w:left="855" w:right="929" w:hanging="298"/>
        <w:jc w:val="left"/>
        <w:rPr>
          <w:position w:val="-4"/>
          <w:sz w:val="31"/>
        </w:rPr>
      </w:pPr>
      <w:r>
        <w:rPr>
          <w:w w:val="105"/>
          <w:sz w:val="18"/>
        </w:rPr>
        <w:t>Treasury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cash </w:t>
      </w:r>
      <w:r>
        <w:rPr>
          <w:spacing w:val="-2"/>
          <w:w w:val="105"/>
          <w:sz w:val="18"/>
        </w:rPr>
        <w:t>forecasting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59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Board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investor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189" w:lineRule="auto" w:before="38" w:after="0"/>
        <w:ind w:left="855" w:right="527" w:hanging="298"/>
        <w:jc w:val="left"/>
        <w:rPr>
          <w:position w:val="-4"/>
          <w:sz w:val="31"/>
        </w:rPr>
      </w:pPr>
      <w:r>
        <w:rPr>
          <w:w w:val="105"/>
          <w:sz w:val="18"/>
        </w:rPr>
        <w:t>NetSuite, Sage Intacct, </w:t>
      </w:r>
      <w:r>
        <w:rPr>
          <w:spacing w:val="-2"/>
          <w:w w:val="105"/>
          <w:sz w:val="18"/>
        </w:rPr>
        <w:t>Adaptive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240" w:lineRule="auto" w:before="59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Pricing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unit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economics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39" w:after="0"/>
        <w:ind w:left="855" w:right="355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Stood up the company's first rolling 18-month forecast; previously the team operated off an annual static budget.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6" w:lineRule="exact" w:before="58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Designed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bonus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pool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HR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~1,200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employees.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  <w:tab w:pos="855" w:val="left" w:leader="none"/>
        </w:tabs>
        <w:spacing w:line="201" w:lineRule="auto" w:before="18" w:after="0"/>
        <w:ind w:left="855" w:right="123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 reporting cycle errors after migrating from Excel-based consolidation to Adaptive Insights.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379" w:space="843"/>
            <w:col w:w="7698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2666987</wp:posOffset>
                </wp:positionH>
                <wp:positionV relativeFrom="page">
                  <wp:posOffset>12</wp:posOffset>
                </wp:positionV>
                <wp:extent cx="4901565" cy="1070483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901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1565" h="10704830">
                              <a:moveTo>
                                <a:pt x="4901196" y="0"/>
                              </a:moveTo>
                              <a:lnTo>
                                <a:pt x="12" y="0"/>
                              </a:lnTo>
                              <a:lnTo>
                                <a:pt x="12" y="323837"/>
                              </a:lnTo>
                              <a:lnTo>
                                <a:pt x="0" y="895337"/>
                              </a:lnTo>
                              <a:lnTo>
                                <a:pt x="12" y="5308600"/>
                              </a:lnTo>
                              <a:lnTo>
                                <a:pt x="12" y="7620000"/>
                              </a:lnTo>
                              <a:lnTo>
                                <a:pt x="12" y="10704563"/>
                              </a:lnTo>
                              <a:lnTo>
                                <a:pt x="4901196" y="10704563"/>
                              </a:lnTo>
                              <a:lnTo>
                                <a:pt x="4901196" y="7620000"/>
                              </a:lnTo>
                              <a:lnTo>
                                <a:pt x="4901196" y="5308600"/>
                              </a:lnTo>
                              <a:lnTo>
                                <a:pt x="4901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9.999008pt;margin-top:.000965pt;width:385.95pt;height:842.9pt;mso-position-horizontal-relative:page;mso-position-vertical-relative:page;z-index:15732224" id="docshape10" coordorigin="4200,0" coordsize="7719,16858" path="m11918,0l4200,0,4200,510,4200,1410,4200,8360,4200,12000,4200,16858,11918,16858,11918,12000,11918,8360,11918,0xe" filled="true" fillcolor="#f5f5f5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240" w:lineRule="auto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Stock-based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comp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spacing w:val="-4"/>
          <w:w w:val="105"/>
          <w:sz w:val="18"/>
        </w:rPr>
        <w:t>409A</w:t>
      </w:r>
    </w:p>
    <w:sectPr>
      <w:pgSz w:w="11920" w:h="1686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6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8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5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3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9"/>
      <w:ind w:left="116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m.holloway@example.com" TargetMode="Externa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2026-06-29T19:07:04Z</dcterms:created>
  <dcterms:modified xsi:type="dcterms:W3CDTF">2026-06-29T19:07:04Z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2026-06-29T00:00:00Z</vt:filetime>
  </property>
  <property fmtid="{D5CDD505-2E9C-101B-9397-08002B2CF9AE}" pid="5" name="Producer">
    <vt:lpwstr>pdf-merger-js</vt:lpwstr>
  </property>
</Properties>
</file>