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"/>
        <w:rPr>
          <w:rFonts w:ascii="Times New Roman"/>
          <w:sz w:val="89"/>
        </w:rPr>
      </w:pPr>
    </w:p>
    <w:p>
      <w:pPr>
        <w:pStyle w:val="Heading1"/>
      </w:pPr>
      <w:r>
        <w:rPr>
          <w:color w:val="FFFFFF"/>
          <w:spacing w:val="11"/>
        </w:rPr>
        <w:t>DONNA</w:t>
      </w:r>
    </w:p>
    <w:p>
      <w:pPr>
        <w:spacing w:line="1022" w:lineRule="exact" w:before="0"/>
        <w:ind w:left="4016" w:right="17" w:firstLine="0"/>
        <w:jc w:val="center"/>
        <w:rPr>
          <w:sz w:val="89"/>
        </w:rPr>
      </w:pPr>
      <w:r>
        <w:rPr>
          <w:color w:val="FFFFFF"/>
          <w:spacing w:val="13"/>
          <w:sz w:val="89"/>
        </w:rPr>
        <w:t>RODRIGUEZ</w:t>
      </w:r>
    </w:p>
    <w:p>
      <w:pPr>
        <w:spacing w:before="194"/>
        <w:ind w:left="4016" w:right="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Sales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pacing w:val="-2"/>
          <w:sz w:val="20"/>
        </w:rPr>
        <w:t>Director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7164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2447924</wp:posOffset>
                </wp:positionH>
                <wp:positionV relativeFrom="paragraph">
                  <wp:posOffset>71533</wp:posOffset>
                </wp:positionV>
                <wp:extent cx="9525" cy="79533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525" cy="7953375"/>
                          <a:chExt cx="9525" cy="79533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629525"/>
                            <a:ext cx="95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3850">
                                <a:moveTo>
                                  <a:pt x="0" y="323849"/>
                                </a:moveTo>
                                <a:lnTo>
                                  <a:pt x="9524" y="32384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25" cy="762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9525">
                                <a:moveTo>
                                  <a:pt x="9524" y="7629524"/>
                                </a:moveTo>
                                <a:lnTo>
                                  <a:pt x="0" y="762952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762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5.63258pt;width:.75pt;height:626.25pt;mso-position-horizontal-relative:page;mso-position-vertical-relative:paragraph;z-index:-15810048" id="docshapegroup1" coordorigin="3855,113" coordsize="15,12525">
                <v:rect style="position:absolute;left:3855;top:12127;width:15;height:510" id="docshape2" filled="true" fillcolor="#1f1f1f" stroked="false">
                  <v:fill opacity="15420f" type="solid"/>
                </v:rect>
                <v:rect style="position:absolute;left:3855;top:112;width:15;height:12015" id="docshape3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  <w:r>
        <w:rPr>
          <w:b/>
          <w:color w:val="6A0000"/>
          <w:sz w:val="20"/>
        </w:rPr>
        <w:t>ABOUT</w:t>
      </w:r>
      <w:r>
        <w:rPr>
          <w:b/>
          <w:color w:val="6A0000"/>
          <w:spacing w:val="11"/>
          <w:sz w:val="20"/>
        </w:rPr>
        <w:t> </w:t>
      </w:r>
      <w:r>
        <w:rPr>
          <w:b/>
          <w:color w:val="6A0000"/>
          <w:spacing w:val="-5"/>
          <w:sz w:val="20"/>
        </w:rPr>
        <w:t>ME</w:t>
      </w: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141" w:right="283"/>
        </w:sectPr>
      </w:pPr>
    </w:p>
    <w:p>
      <w:pPr>
        <w:pStyle w:val="BodyText"/>
        <w:spacing w:before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10560" id="docshape4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-77006</wp:posOffset>
                </wp:positionH>
                <wp:positionV relativeFrom="page">
                  <wp:posOffset>0</wp:posOffset>
                </wp:positionV>
                <wp:extent cx="7722234" cy="29718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22234" cy="2971800"/>
                          <a:chExt cx="7722234" cy="29718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24931" y="380999"/>
                            <a:ext cx="9525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114550">
                                <a:moveTo>
                                  <a:pt x="0" y="2114550"/>
                                </a:moveTo>
                                <a:lnTo>
                                  <a:pt x="9524" y="2114550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4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006" y="0"/>
                            <a:ext cx="7568565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95550">
                                <a:moveTo>
                                  <a:pt x="7568183" y="2495549"/>
                                </a:moveTo>
                                <a:lnTo>
                                  <a:pt x="0" y="24955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7006" y="266409"/>
                            <a:ext cx="7568565" cy="217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178050">
                                <a:moveTo>
                                  <a:pt x="7568183" y="2177732"/>
                                </a:moveTo>
                                <a:lnTo>
                                  <a:pt x="0" y="2177732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177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006" y="2367135"/>
                            <a:ext cx="756856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5430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54012"/>
                                </a:lnTo>
                                <a:lnTo>
                                  <a:pt x="0" y="1540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006" y="266409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5401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656" y="850899"/>
                            <a:ext cx="2124074" cy="2120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6.063495pt;margin-top:.000033pt;width:608.050pt;height:234pt;mso-position-horizontal-relative:page;mso-position-vertical-relative:page;z-index:-15809536" id="docshapegroup5" coordorigin="-121,0" coordsize="12161,4680">
                <v:rect style="position:absolute;left:3855;top:600;width:15;height:3330" id="docshape6" filled="true" fillcolor="#1f1f1f" stroked="false">
                  <v:fill opacity="15420f" type="solid"/>
                </v:rect>
                <v:rect style="position:absolute;left:0;top:0;width:11919;height:3930" id="docshape7" filled="true" fillcolor="#6a0000" stroked="false">
                  <v:fill opacity="32899f" type="solid"/>
                </v:rect>
                <v:shape style="position:absolute;left:0;top:419;width:11919;height:3430" id="docshape8" coordorigin="0,420" coordsize="11919,3430" path="m11918,3849l0,3849,0,979,11918,420,11918,3849xe" filled="true" fillcolor="#6a0000" stroked="false">
                  <v:path arrowok="t"/>
                  <v:fill type="solid"/>
                </v:shape>
                <v:rect style="position:absolute;left:0;top:3727;width:11919;height:243" id="docshape9" filled="true" fillcolor="#ffffff" stroked="false">
                  <v:fill type="solid"/>
                </v:rect>
                <v:line style="position:absolute" from="11918,420" to="0,979" stroked="true" strokeweight="12.126967pt" strokecolor="#ffffff">
                  <v:stroke dashstyle="solid"/>
                </v:line>
                <v:shape style="position:absolute;left:390;top:1340;width:3345;height:3340" type="#_x0000_t75" id="docshape10" stroked="false">
                  <v:imagedata r:id="rId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55"/>
        <w:rPr>
          <w:b/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6A0000"/>
          <w:sz w:val="20"/>
        </w:rPr>
        <w:t>CONTACT</w:t>
      </w:r>
      <w:r>
        <w:rPr>
          <w:b/>
          <w:color w:val="6A0000"/>
          <w:spacing w:val="-1"/>
          <w:sz w:val="20"/>
        </w:rPr>
        <w:t> </w:t>
      </w:r>
      <w:r>
        <w:rPr>
          <w:b/>
          <w:color w:val="6A0000"/>
          <w:spacing w:val="-2"/>
          <w:sz w:val="20"/>
        </w:rPr>
        <w:t>INFORMATION</w:t>
      </w:r>
    </w:p>
    <w:p>
      <w:pPr>
        <w:pStyle w:val="BodyText"/>
        <w:spacing w:before="12"/>
        <w:rPr>
          <w:b/>
          <w:sz w:val="20"/>
        </w:rPr>
      </w:pPr>
    </w:p>
    <w:p>
      <w:pPr>
        <w:pStyle w:val="BodyText"/>
        <w:tabs>
          <w:tab w:pos="957" w:val="left" w:leader="none"/>
        </w:tabs>
        <w:spacing w:before="0"/>
        <w:ind w:left="399"/>
      </w:pP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ab/>
      </w:r>
      <w:r>
        <w:rPr>
          <w:color w:val="1F1F1F"/>
        </w:rPr>
        <w:t>(612)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0167</w:t>
      </w:r>
    </w:p>
    <w:p>
      <w:pPr>
        <w:pStyle w:val="BodyText"/>
        <w:tabs>
          <w:tab w:pos="957" w:val="left" w:leader="none"/>
        </w:tabs>
        <w:spacing w:line="340" w:lineRule="auto" w:before="134"/>
        <w:ind w:left="400" w:right="531" w:firstLine="19"/>
      </w:pPr>
      <w:r>
        <w:rPr>
          <w:position w:val="-11"/>
        </w:rPr>
        <w:drawing>
          <wp:inline distT="0" distB="0" distL="0" distR="0">
            <wp:extent cx="174258" cy="20067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ab/>
      </w:r>
      <w:hyperlink r:id="rId8">
        <w:r>
          <w:rPr>
            <w:color w:val="1F1F1F"/>
            <w:spacing w:val="-2"/>
            <w:w w:val="105"/>
          </w:rPr>
          <w:t>dokafor@example.com</w:t>
        </w:r>
      </w:hyperlink>
      <w:r>
        <w:rPr>
          <w:color w:val="1F1F1F"/>
          <w:spacing w:val="-2"/>
          <w:w w:val="105"/>
        </w:rPr>
        <w:t> </w:t>
      </w:r>
      <w:r>
        <w:rPr>
          <w:color w:val="1F1F1F"/>
          <w:position w:val="-11"/>
        </w:rPr>
        <w:drawing>
          <wp:inline distT="0" distB="0" distL="0" distR="0">
            <wp:extent cx="199480" cy="20076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F1F1F"/>
          <w:position w:val="-11"/>
        </w:rPr>
      </w:r>
      <w:r>
        <w:rPr>
          <w:rFonts w:ascii="Times New Roman"/>
          <w:color w:val="1F1F1F"/>
        </w:rPr>
        <w:tab/>
      </w:r>
      <w:r>
        <w:rPr>
          <w:color w:val="1F1F1F"/>
          <w:spacing w:val="-2"/>
          <w:w w:val="105"/>
        </w:rPr>
        <w:t>Minneapolis,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MN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12345</w:t>
      </w:r>
    </w:p>
    <w:p>
      <w:pPr>
        <w:pStyle w:val="BodyText"/>
        <w:spacing w:before="88"/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6A0000"/>
          <w:sz w:val="20"/>
        </w:rPr>
        <w:t>KEY</w:t>
      </w:r>
      <w:r>
        <w:rPr>
          <w:b/>
          <w:color w:val="6A0000"/>
          <w:spacing w:val="3"/>
          <w:sz w:val="20"/>
        </w:rPr>
        <w:t> </w:t>
      </w:r>
      <w:r>
        <w:rPr>
          <w:b/>
          <w:color w:val="6A0000"/>
          <w:spacing w:val="-2"/>
          <w:sz w:val="20"/>
        </w:rPr>
        <w:t>SKILLS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224" w:after="0"/>
        <w:ind w:left="696" w:right="826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Multi-region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sales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team leadership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123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Enterprise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SaaS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healthcare </w:t>
      </w:r>
      <w:r>
        <w:rPr>
          <w:color w:val="1F1F1F"/>
          <w:w w:val="105"/>
          <w:sz w:val="18"/>
        </w:rPr>
        <w:t>technology sales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0" w:after="0"/>
        <w:ind w:left="696" w:right="237" w:hanging="298"/>
        <w:jc w:val="left"/>
        <w:rPr>
          <w:sz w:val="18"/>
        </w:rPr>
      </w:pPr>
      <w:r>
        <w:rPr>
          <w:color w:val="1F1F1F"/>
          <w:w w:val="105"/>
          <w:sz w:val="18"/>
        </w:rPr>
        <w:t>Sales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forecasting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pipeline </w:t>
      </w:r>
      <w:r>
        <w:rPr>
          <w:color w:val="1F1F1F"/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258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Salesforce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HubSpot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CRM administration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91" w:after="0"/>
        <w:ind w:left="696" w:right="0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Sales</w:t>
      </w:r>
      <w:r>
        <w:rPr>
          <w:color w:val="1F1F1F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compensation</w:t>
      </w:r>
      <w:r>
        <w:rPr>
          <w:color w:val="1F1F1F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plan</w:t>
      </w:r>
      <w:r>
        <w:rPr>
          <w:color w:val="1F1F1F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40" w:lineRule="auto" w:before="138" w:after="0"/>
        <w:ind w:left="696" w:right="0" w:hanging="298"/>
        <w:jc w:val="left"/>
        <w:rPr>
          <w:sz w:val="18"/>
        </w:rPr>
      </w:pPr>
      <w:r>
        <w:rPr>
          <w:color w:val="1F1F1F"/>
          <w:w w:val="105"/>
          <w:sz w:val="18"/>
        </w:rPr>
        <w:t>Strategic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account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138" w:after="0"/>
        <w:ind w:left="696" w:right="172" w:hanging="298"/>
        <w:jc w:val="left"/>
        <w:rPr>
          <w:sz w:val="18"/>
        </w:rPr>
      </w:pPr>
      <w:r>
        <w:rPr>
          <w:color w:val="1F1F1F"/>
          <w:w w:val="105"/>
          <w:sz w:val="18"/>
        </w:rPr>
        <w:t>Hiring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developing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second-line managers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451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MEDDPICC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and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Challenger methodologies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413" w:hanging="298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Post-acquisition commercial integration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186" w:hanging="298"/>
        <w:jc w:val="left"/>
        <w:rPr>
          <w:sz w:val="18"/>
        </w:rPr>
      </w:pPr>
      <w:r>
        <w:rPr>
          <w:color w:val="1F1F1F"/>
          <w:w w:val="105"/>
          <w:sz w:val="18"/>
        </w:rPr>
        <w:t>Board-level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reporting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QBR </w:t>
      </w:r>
      <w:r>
        <w:rPr>
          <w:color w:val="1F1F1F"/>
          <w:spacing w:val="-2"/>
          <w:w w:val="105"/>
          <w:sz w:val="18"/>
        </w:rPr>
        <w:t>facilitation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0" w:after="0"/>
        <w:ind w:left="696" w:right="802" w:hanging="298"/>
        <w:jc w:val="left"/>
        <w:rPr>
          <w:sz w:val="18"/>
        </w:rPr>
      </w:pPr>
      <w:r>
        <w:rPr>
          <w:color w:val="1F1F1F"/>
          <w:w w:val="105"/>
          <w:sz w:val="18"/>
        </w:rPr>
        <w:t>Deal-desk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contract </w:t>
      </w:r>
      <w:r>
        <w:rPr>
          <w:color w:val="1F1F1F"/>
          <w:spacing w:val="-2"/>
          <w:w w:val="105"/>
          <w:sz w:val="18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95" w:lineRule="auto" w:before="91" w:after="0"/>
        <w:ind w:left="696" w:right="571" w:hanging="298"/>
        <w:jc w:val="left"/>
        <w:rPr>
          <w:sz w:val="18"/>
        </w:rPr>
      </w:pPr>
      <w:r>
        <w:rPr>
          <w:color w:val="1F1F1F"/>
          <w:w w:val="105"/>
          <w:sz w:val="18"/>
        </w:rPr>
        <w:t>Territory</w:t>
      </w:r>
      <w:r>
        <w:rPr>
          <w:color w:val="1F1F1F"/>
          <w:spacing w:val="-14"/>
          <w:w w:val="105"/>
          <w:sz w:val="18"/>
        </w:rPr>
        <w:t> </w:t>
      </w:r>
      <w:r>
        <w:rPr>
          <w:color w:val="1F1F1F"/>
          <w:w w:val="105"/>
          <w:sz w:val="18"/>
        </w:rPr>
        <w:t>design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13"/>
          <w:w w:val="105"/>
          <w:sz w:val="18"/>
        </w:rPr>
        <w:t> </w:t>
      </w:r>
      <w:r>
        <w:rPr>
          <w:color w:val="1F1F1F"/>
          <w:w w:val="105"/>
          <w:sz w:val="18"/>
        </w:rPr>
        <w:t>quota </w:t>
      </w:r>
      <w:r>
        <w:rPr>
          <w:color w:val="1F1F1F"/>
          <w:spacing w:val="-2"/>
          <w:w w:val="105"/>
          <w:sz w:val="18"/>
        </w:rPr>
        <w:t>setting</w:t>
      </w:r>
    </w:p>
    <w:p>
      <w:pPr>
        <w:spacing w:line="290" w:lineRule="auto" w:before="70"/>
        <w:ind w:left="246" w:right="174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Senior Sales Director with 13 years in healthcare technology sales, including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6 years leading multi-region teams. Built the commercial org at a Series C startup from 4 to 31 sellers and led the team through a 2022 acquisition.</w:t>
      </w:r>
    </w:p>
    <w:p>
      <w:pPr>
        <w:spacing w:before="5"/>
        <w:ind w:left="246" w:right="177" w:firstLine="0"/>
        <w:jc w:val="center"/>
        <w:rPr>
          <w:sz w:val="20"/>
        </w:rPr>
      </w:pPr>
      <w:r>
        <w:rPr>
          <w:color w:val="1F1F1F"/>
          <w:w w:val="105"/>
          <w:sz w:val="20"/>
        </w:rPr>
        <w:t>Known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for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hiring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strong</w:t>
      </w:r>
      <w:r>
        <w:rPr>
          <w:color w:val="1F1F1F"/>
          <w:spacing w:val="14"/>
          <w:w w:val="105"/>
          <w:sz w:val="20"/>
        </w:rPr>
        <w:t> </w:t>
      </w:r>
      <w:r>
        <w:rPr>
          <w:color w:val="1F1F1F"/>
          <w:w w:val="105"/>
          <w:sz w:val="20"/>
        </w:rPr>
        <w:t>second-line</w:t>
      </w:r>
      <w:r>
        <w:rPr>
          <w:color w:val="1F1F1F"/>
          <w:spacing w:val="15"/>
          <w:w w:val="105"/>
          <w:sz w:val="20"/>
        </w:rPr>
        <w:t> </w:t>
      </w:r>
      <w:r>
        <w:rPr>
          <w:color w:val="1F1F1F"/>
          <w:spacing w:val="-2"/>
          <w:w w:val="105"/>
          <w:sz w:val="20"/>
        </w:rPr>
        <w:t>managers.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2619374</wp:posOffset>
                </wp:positionH>
                <wp:positionV relativeFrom="paragraph">
                  <wp:posOffset>163754</wp:posOffset>
                </wp:positionV>
                <wp:extent cx="4629150" cy="95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629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9150" h="9525">
                              <a:moveTo>
                                <a:pt x="4629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29149" y="0"/>
                              </a:lnTo>
                              <a:lnTo>
                                <a:pt x="4629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>
                            <a:alpha val="3607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6.249985pt;margin-top:12.894048pt;width:364.499971pt;height:.75pt;mso-position-horizontal-relative:page;mso-position-vertical-relative:paragraph;z-index:-15728640;mso-wrap-distance-left:0;mso-wrap-distance-right:0" id="docshape11" filled="true" fillcolor="#1f1f1f" stroked="false">
                <v:fill opacity="23645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spacing w:before="0"/>
        <w:ind w:left="139" w:right="0" w:firstLine="0"/>
        <w:jc w:val="left"/>
        <w:rPr>
          <w:b/>
          <w:sz w:val="20"/>
        </w:rPr>
      </w:pPr>
      <w:r>
        <w:rPr>
          <w:b/>
          <w:color w:val="6A0000"/>
          <w:sz w:val="20"/>
        </w:rPr>
        <w:t>PROFESSIONAL</w:t>
      </w:r>
      <w:r>
        <w:rPr>
          <w:b/>
          <w:color w:val="6A0000"/>
          <w:spacing w:val="17"/>
          <w:sz w:val="20"/>
        </w:rPr>
        <w:t> </w:t>
      </w:r>
      <w:r>
        <w:rPr>
          <w:b/>
          <w:color w:val="6A0000"/>
          <w:spacing w:val="-2"/>
          <w:sz w:val="20"/>
        </w:rPr>
        <w:t>EXPERIENCE</w:t>
      </w:r>
    </w:p>
    <w:p>
      <w:pPr>
        <w:spacing w:before="205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Senior</w:t>
      </w:r>
      <w:r>
        <w:rPr>
          <w:color w:val="1F1F1F"/>
          <w:spacing w:val="4"/>
          <w:sz w:val="20"/>
        </w:rPr>
        <w:t> </w:t>
      </w:r>
      <w:r>
        <w:rPr>
          <w:color w:val="1F1F1F"/>
          <w:sz w:val="20"/>
        </w:rPr>
        <w:t>Sales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Director,</w:t>
      </w:r>
      <w:r>
        <w:rPr>
          <w:color w:val="1F1F1F"/>
          <w:spacing w:val="5"/>
          <w:sz w:val="20"/>
        </w:rPr>
        <w:t> </w:t>
      </w:r>
      <w:r>
        <w:rPr>
          <w:color w:val="1F1F1F"/>
          <w:sz w:val="20"/>
        </w:rPr>
        <w:t>North</w:t>
      </w:r>
      <w:r>
        <w:rPr>
          <w:color w:val="1F1F1F"/>
          <w:spacing w:val="-8"/>
          <w:sz w:val="20"/>
        </w:rPr>
        <w:t> </w:t>
      </w:r>
      <w:r>
        <w:rPr>
          <w:color w:val="1F1F1F"/>
          <w:spacing w:val="-2"/>
          <w:sz w:val="20"/>
        </w:rPr>
        <w:t>America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Centerlink</w:t>
      </w:r>
      <w:r>
        <w:rPr>
          <w:spacing w:val="6"/>
          <w:sz w:val="20"/>
        </w:rPr>
        <w:t> </w:t>
      </w:r>
      <w:r>
        <w:rPr>
          <w:sz w:val="20"/>
        </w:rPr>
        <w:t>Health</w:t>
      </w:r>
      <w:r>
        <w:rPr>
          <w:spacing w:val="7"/>
          <w:sz w:val="20"/>
        </w:rPr>
        <w:t> </w:t>
      </w:r>
      <w:r>
        <w:rPr>
          <w:sz w:val="20"/>
        </w:rPr>
        <w:t>Platforms,</w:t>
      </w:r>
      <w:r>
        <w:rPr>
          <w:spacing w:val="6"/>
          <w:sz w:val="20"/>
        </w:rPr>
        <w:t> </w:t>
      </w:r>
      <w:r>
        <w:rPr>
          <w:sz w:val="20"/>
        </w:rPr>
        <w:t>Minneapolis,</w:t>
      </w:r>
      <w:r>
        <w:rPr>
          <w:spacing w:val="7"/>
          <w:sz w:val="20"/>
        </w:rPr>
        <w:t> </w:t>
      </w:r>
      <w:r>
        <w:rPr>
          <w:sz w:val="20"/>
        </w:rPr>
        <w:t>MN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6"/>
          <w:sz w:val="20"/>
        </w:rPr>
        <w:t> </w:t>
      </w:r>
      <w:r>
        <w:rPr>
          <w:sz w:val="20"/>
        </w:rPr>
        <w:t>2020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34" w:after="0"/>
        <w:ind w:left="975" w:right="568" w:hanging="302"/>
        <w:jc w:val="left"/>
        <w:rPr>
          <w:sz w:val="18"/>
        </w:rPr>
      </w:pPr>
      <w:r>
        <w:rPr>
          <w:color w:val="1F1F1F"/>
          <w:w w:val="105"/>
          <w:sz w:val="18"/>
        </w:rPr>
        <w:t>Own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$52M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new-business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number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across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regional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teams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(31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sellers,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4 RDs); ﬁnished FY24 at 107% of plan.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348" w:hanging="302"/>
        <w:jc w:val="left"/>
        <w:rPr>
          <w:sz w:val="18"/>
        </w:rPr>
      </w:pPr>
      <w:r>
        <w:rPr>
          <w:color w:val="1F1F1F"/>
          <w:w w:val="105"/>
          <w:sz w:val="18"/>
        </w:rPr>
        <w:t>Hired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3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4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current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regional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directors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built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leveling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framework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that cut director-level attrition to under 8%.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169" w:hanging="302"/>
        <w:jc w:val="left"/>
        <w:rPr>
          <w:sz w:val="18"/>
        </w:rPr>
      </w:pPr>
      <w:r>
        <w:rPr>
          <w:color w:val="1F1F1F"/>
          <w:w w:val="105"/>
          <w:sz w:val="18"/>
        </w:rPr>
        <w:t>Led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commercial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integration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after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2022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acquisition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competitor,</w:t>
      </w:r>
      <w:r>
        <w:rPr>
          <w:color w:val="1F1F1F"/>
          <w:spacing w:val="-7"/>
          <w:w w:val="105"/>
          <w:sz w:val="18"/>
        </w:rPr>
        <w:t> </w:t>
      </w:r>
      <w:r>
        <w:rPr>
          <w:color w:val="1F1F1F"/>
          <w:w w:val="105"/>
          <w:sz w:val="18"/>
        </w:rPr>
        <w:t>merging two CRM instances and unifying comp plans in 11 weeks.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0" w:after="0"/>
        <w:ind w:left="975" w:right="376" w:hanging="302"/>
        <w:jc w:val="left"/>
        <w:rPr>
          <w:sz w:val="18"/>
        </w:rPr>
      </w:pPr>
      <w:r>
        <w:rPr>
          <w:color w:val="1F1F1F"/>
          <w:w w:val="105"/>
          <w:sz w:val="18"/>
        </w:rPr>
        <w:t>Sponsored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strategic-accounts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program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grew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enterprise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ACV from $185K to $312K over two years.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117" w:hanging="302"/>
        <w:jc w:val="left"/>
        <w:rPr>
          <w:sz w:val="18"/>
        </w:rPr>
      </w:pPr>
      <w:r>
        <w:rPr>
          <w:color w:val="1F1F1F"/>
          <w:w w:val="105"/>
          <w:sz w:val="18"/>
        </w:rPr>
        <w:t>Present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quarterly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forecast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pipeline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review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board;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called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FY23</w:t>
      </w:r>
      <w:r>
        <w:rPr>
          <w:color w:val="1F1F1F"/>
          <w:spacing w:val="-8"/>
          <w:w w:val="105"/>
          <w:sz w:val="18"/>
        </w:rPr>
        <w:t> </w:t>
      </w:r>
      <w:r>
        <w:rPr>
          <w:color w:val="1F1F1F"/>
          <w:w w:val="105"/>
          <w:sz w:val="18"/>
        </w:rPr>
        <w:t>H2 miss six weeks before close.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Director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Sales,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Central</w:t>
      </w:r>
      <w:r>
        <w:rPr>
          <w:color w:val="1F1F1F"/>
          <w:spacing w:val="7"/>
          <w:sz w:val="20"/>
        </w:rPr>
        <w:t> </w:t>
      </w:r>
      <w:r>
        <w:rPr>
          <w:color w:val="1F1F1F"/>
          <w:spacing w:val="-2"/>
          <w:sz w:val="20"/>
        </w:rPr>
        <w:t>Region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Veridia</w:t>
      </w:r>
      <w:r>
        <w:rPr>
          <w:spacing w:val="5"/>
          <w:sz w:val="20"/>
        </w:rPr>
        <w:t> </w:t>
      </w:r>
      <w:r>
        <w:rPr>
          <w:sz w:val="20"/>
        </w:rPr>
        <w:t>Clinical</w:t>
      </w:r>
      <w:r>
        <w:rPr>
          <w:spacing w:val="6"/>
          <w:sz w:val="20"/>
        </w:rPr>
        <w:t> </w:t>
      </w:r>
      <w:r>
        <w:rPr>
          <w:sz w:val="20"/>
        </w:rPr>
        <w:t>Systems,</w:t>
      </w:r>
      <w:r>
        <w:rPr>
          <w:spacing w:val="5"/>
          <w:sz w:val="20"/>
        </w:rPr>
        <w:t> </w:t>
      </w:r>
      <w:r>
        <w:rPr>
          <w:sz w:val="20"/>
        </w:rPr>
        <w:t>Minneapolis,</w:t>
      </w:r>
      <w:r>
        <w:rPr>
          <w:spacing w:val="6"/>
          <w:sz w:val="20"/>
        </w:rPr>
        <w:t> </w:t>
      </w:r>
      <w:r>
        <w:rPr>
          <w:sz w:val="20"/>
        </w:rPr>
        <w:t>MN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2017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2020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34" w:after="0"/>
        <w:ind w:left="975" w:right="97" w:hanging="302"/>
        <w:jc w:val="left"/>
        <w:rPr>
          <w:sz w:val="18"/>
        </w:rPr>
      </w:pPr>
      <w:r>
        <w:rPr>
          <w:color w:val="1F1F1F"/>
          <w:w w:val="105"/>
          <w:sz w:val="18"/>
        </w:rPr>
        <w:t>Managed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11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AEs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selling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EHR-adjacent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software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to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health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systems;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grew</w:t>
      </w:r>
      <w:r>
        <w:rPr>
          <w:color w:val="1F1F1F"/>
          <w:spacing w:val="-12"/>
          <w:w w:val="105"/>
          <w:sz w:val="18"/>
        </w:rPr>
        <w:t> </w:t>
      </w:r>
      <w:r>
        <w:rPr>
          <w:color w:val="1F1F1F"/>
          <w:w w:val="105"/>
          <w:sz w:val="18"/>
        </w:rPr>
        <w:t>region from $9.4M to $19.7M in three years.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345" w:hanging="302"/>
        <w:jc w:val="left"/>
        <w:rPr>
          <w:sz w:val="18"/>
        </w:rPr>
      </w:pPr>
      <w:r>
        <w:rPr>
          <w:color w:val="1F1F1F"/>
          <w:w w:val="105"/>
          <w:sz w:val="18"/>
        </w:rPr>
        <w:t>Closed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$3.1M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deal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14-hospital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IDN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became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company's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ﬁrst published case study.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1" w:after="0"/>
        <w:ind w:left="975" w:right="296" w:hanging="302"/>
        <w:jc w:val="left"/>
        <w:rPr>
          <w:sz w:val="18"/>
        </w:rPr>
      </w:pPr>
      <w:r>
        <w:rPr>
          <w:color w:val="1F1F1F"/>
          <w:w w:val="105"/>
          <w:sz w:val="18"/>
        </w:rPr>
        <w:t>Built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deal-desk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process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with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legal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and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ﬁnance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that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cut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average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sales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w w:val="105"/>
          <w:sz w:val="18"/>
        </w:rPr>
        <w:t>cycle from 184 to 121 days.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91" w:after="0"/>
        <w:ind w:left="975" w:right="0" w:hanging="302"/>
        <w:jc w:val="left"/>
        <w:rPr>
          <w:sz w:val="18"/>
        </w:rPr>
      </w:pPr>
      <w:r>
        <w:rPr>
          <w:color w:val="1F1F1F"/>
          <w:w w:val="105"/>
          <w:sz w:val="18"/>
        </w:rPr>
        <w:t>Coached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two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AEs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into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management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roles,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both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still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seat</w:t>
      </w:r>
      <w:r>
        <w:rPr>
          <w:color w:val="1F1F1F"/>
          <w:spacing w:val="-11"/>
          <w:w w:val="105"/>
          <w:sz w:val="18"/>
        </w:rPr>
        <w:t> </w:t>
      </w:r>
      <w:r>
        <w:rPr>
          <w:color w:val="1F1F1F"/>
          <w:w w:val="105"/>
          <w:sz w:val="18"/>
        </w:rPr>
        <w:t>as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2024.</w:t>
      </w:r>
    </w:p>
    <w:p>
      <w:pPr>
        <w:pStyle w:val="BodyText"/>
        <w:spacing w:before="32"/>
      </w:pPr>
    </w:p>
    <w:p>
      <w:pPr>
        <w:spacing w:before="0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Regional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Sales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Veridia</w:t>
      </w:r>
      <w:r>
        <w:rPr>
          <w:spacing w:val="5"/>
          <w:sz w:val="20"/>
        </w:rPr>
        <w:t> </w:t>
      </w:r>
      <w:r>
        <w:rPr>
          <w:sz w:val="20"/>
        </w:rPr>
        <w:t>Clinical</w:t>
      </w:r>
      <w:r>
        <w:rPr>
          <w:spacing w:val="6"/>
          <w:sz w:val="20"/>
        </w:rPr>
        <w:t> </w:t>
      </w:r>
      <w:r>
        <w:rPr>
          <w:sz w:val="20"/>
        </w:rPr>
        <w:t>Systems,</w:t>
      </w:r>
      <w:r>
        <w:rPr>
          <w:spacing w:val="5"/>
          <w:sz w:val="20"/>
        </w:rPr>
        <w:t> </w:t>
      </w:r>
      <w:r>
        <w:rPr>
          <w:sz w:val="20"/>
        </w:rPr>
        <w:t>Minneapolis,</w:t>
      </w:r>
      <w:r>
        <w:rPr>
          <w:spacing w:val="6"/>
          <w:sz w:val="20"/>
        </w:rPr>
        <w:t> </w:t>
      </w:r>
      <w:r>
        <w:rPr>
          <w:sz w:val="20"/>
        </w:rPr>
        <w:t>MN</w:t>
      </w:r>
      <w:r>
        <w:rPr>
          <w:spacing w:val="6"/>
          <w:sz w:val="20"/>
        </w:rPr>
        <w:t> </w:t>
      </w:r>
      <w:r>
        <w:rPr>
          <w:sz w:val="20"/>
        </w:rPr>
        <w:t>|</w:t>
      </w:r>
      <w:r>
        <w:rPr>
          <w:spacing w:val="5"/>
          <w:sz w:val="20"/>
        </w:rPr>
        <w:t> </w:t>
      </w:r>
      <w:r>
        <w:rPr>
          <w:sz w:val="20"/>
        </w:rPr>
        <w:t>2014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2017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149" w:after="0"/>
        <w:ind w:left="975" w:right="111" w:hanging="302"/>
        <w:jc w:val="left"/>
        <w:rPr>
          <w:sz w:val="18"/>
        </w:rPr>
      </w:pPr>
      <w:r>
        <w:rPr>
          <w:color w:val="1F1F1F"/>
          <w:w w:val="105"/>
          <w:sz w:val="18"/>
        </w:rPr>
        <w:t>Led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6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AEs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Upper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Midwest;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team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hit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100%+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of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quota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three</w:t>
      </w:r>
      <w:r>
        <w:rPr>
          <w:color w:val="1F1F1F"/>
          <w:spacing w:val="-6"/>
          <w:w w:val="105"/>
          <w:sz w:val="18"/>
        </w:rPr>
        <w:t> </w:t>
      </w:r>
      <w:r>
        <w:rPr>
          <w:color w:val="1F1F1F"/>
          <w:w w:val="105"/>
          <w:sz w:val="18"/>
        </w:rPr>
        <w:t>consecutive </w:t>
      </w:r>
      <w:r>
        <w:rPr>
          <w:color w:val="1F1F1F"/>
          <w:spacing w:val="-2"/>
          <w:w w:val="105"/>
          <w:sz w:val="18"/>
        </w:rPr>
        <w:t>years.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95" w:lineRule="auto" w:before="90" w:after="0"/>
        <w:ind w:left="975" w:right="138" w:hanging="302"/>
        <w:jc w:val="left"/>
        <w:rPr>
          <w:sz w:val="18"/>
        </w:rPr>
      </w:pPr>
      <w:r>
        <w:rPr>
          <w:color w:val="1F1F1F"/>
          <w:w w:val="105"/>
          <w:sz w:val="18"/>
        </w:rPr>
        <w:t>Personally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closed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largest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deal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in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regional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history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at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the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time,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a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$1.6M</w:t>
      </w:r>
      <w:r>
        <w:rPr>
          <w:color w:val="1F1F1F"/>
          <w:spacing w:val="-9"/>
          <w:w w:val="105"/>
          <w:sz w:val="18"/>
        </w:rPr>
        <w:t> </w:t>
      </w:r>
      <w:r>
        <w:rPr>
          <w:color w:val="1F1F1F"/>
          <w:w w:val="105"/>
          <w:sz w:val="18"/>
        </w:rPr>
        <w:t>multi-year contract.</w:t>
      </w:r>
    </w:p>
    <w:p>
      <w:pPr>
        <w:pStyle w:val="ListParagraph"/>
        <w:numPr>
          <w:ilvl w:val="1"/>
          <w:numId w:val="1"/>
        </w:numPr>
        <w:tabs>
          <w:tab w:pos="975" w:val="left" w:leader="none"/>
        </w:tabs>
        <w:spacing w:line="240" w:lineRule="auto" w:before="91" w:after="0"/>
        <w:ind w:left="975" w:right="0" w:hanging="302"/>
        <w:jc w:val="left"/>
        <w:rPr>
          <w:sz w:val="18"/>
        </w:rPr>
      </w:pPr>
      <w:r>
        <w:rPr>
          <w:color w:val="1F1F1F"/>
          <w:spacing w:val="-2"/>
          <w:w w:val="105"/>
          <w:sz w:val="18"/>
        </w:rPr>
        <w:t>Designed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the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SDR-to-AE handoff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motion still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used</w:t>
      </w:r>
      <w:r>
        <w:rPr>
          <w:color w:val="1F1F1F"/>
          <w:spacing w:val="-3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company-wide.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0" w:bottom="0" w:left="141" w:right="283"/>
          <w:cols w:num="2" w:equalWidth="0">
            <w:col w:w="3454" w:space="396"/>
            <w:col w:w="7646"/>
          </w:cols>
        </w:sectPr>
      </w:pPr>
    </w:p>
    <w:p>
      <w:pPr>
        <w:pStyle w:val="BodyText"/>
        <w:spacing w:befor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568565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8565" h="10704830">
                              <a:moveTo>
                                <a:pt x="7568183" y="10704575"/>
                              </a:moveTo>
                              <a:lnTo>
                                <a:pt x="0" y="10704575"/>
                              </a:lnTo>
                              <a:lnTo>
                                <a:pt x="0" y="0"/>
                              </a:lnTo>
                              <a:lnTo>
                                <a:pt x="7568183" y="0"/>
                              </a:lnTo>
                              <a:lnTo>
                                <a:pt x="7568183" y="10704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8pt;width:595.919953pt;height:842.879963pt;mso-position-horizontal-relative:page;mso-position-vertical-relative:page;z-index:-15809024" id="docshape12" filled="true" fillcolor="#fbf5f5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2447924</wp:posOffset>
                </wp:positionH>
                <wp:positionV relativeFrom="page">
                  <wp:posOffset>0</wp:posOffset>
                </wp:positionV>
                <wp:extent cx="9525" cy="1070610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9525" cy="10706100"/>
                          <a:chExt cx="9525" cy="107061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0"/>
                            <a:ext cx="95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706100">
                                <a:moveTo>
                                  <a:pt x="9525" y="1762125"/>
                                </a:moveTo>
                                <a:lnTo>
                                  <a:pt x="0" y="1762125"/>
                                </a:lnTo>
                                <a:lnTo>
                                  <a:pt x="0" y="10706087"/>
                                </a:lnTo>
                                <a:lnTo>
                                  <a:pt x="9525" y="10706087"/>
                                </a:lnTo>
                                <a:lnTo>
                                  <a:pt x="9525" y="1762125"/>
                                </a:lnTo>
                                <a:close/>
                              </a:path>
                              <a:path w="9525" h="10706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23849"/>
                            <a:ext cx="95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438275">
                                <a:moveTo>
                                  <a:pt x="9524" y="1438274"/>
                                </a:moveTo>
                                <a:lnTo>
                                  <a:pt x="0" y="14382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438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49985pt;margin-top:.000005pt;width:.75pt;height:843pt;mso-position-horizontal-relative:page;mso-position-vertical-relative:page;z-index:15731200" id="docshapegroup13" coordorigin="3855,0" coordsize="15,16860">
                <v:shape style="position:absolute;left:3854;top:0;width:15;height:16860" id="docshape14" coordorigin="3855,0" coordsize="15,16860" path="m3870,2775l3855,2775,3855,16860,3870,16860,3870,2775xm3870,0l3855,0,3855,510,3870,510,3870,0xe" filled="true" fillcolor="#1f1f1f" stroked="false">
                  <v:path arrowok="t"/>
                  <v:fill opacity="15420f" type="solid"/>
                </v:shape>
                <v:rect style="position:absolute;left:3855;top:510;width:15;height:2265" id="docshape15" filled="true" fillcolor="#1f1f1f" stroked="false">
                  <v:fill opacity="23645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spacing w:before="24"/>
        <w:rPr>
          <w:sz w:val="20"/>
        </w:rPr>
      </w:pPr>
    </w:p>
    <w:p>
      <w:pPr>
        <w:spacing w:before="1"/>
        <w:ind w:left="3989" w:right="0" w:firstLine="0"/>
        <w:jc w:val="left"/>
        <w:rPr>
          <w:b/>
          <w:sz w:val="20"/>
        </w:rPr>
      </w:pPr>
      <w:r>
        <w:rPr>
          <w:b/>
          <w:color w:val="6A0000"/>
          <w:spacing w:val="-2"/>
          <w:sz w:val="20"/>
        </w:rPr>
        <w:t>EDUCATION</w:t>
      </w:r>
    </w:p>
    <w:p>
      <w:pPr>
        <w:spacing w:before="220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MBA,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Carlson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School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Management,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University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of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Minnesota,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4"/>
          <w:sz w:val="20"/>
        </w:rPr>
        <w:t>2013</w:t>
      </w:r>
    </w:p>
    <w:p>
      <w:pPr>
        <w:spacing w:line="470" w:lineRule="auto" w:before="205"/>
        <w:ind w:left="3989" w:right="1539" w:firstLine="0"/>
        <w:jc w:val="left"/>
        <w:rPr>
          <w:sz w:val="20"/>
        </w:rPr>
      </w:pPr>
      <w:r>
        <w:rPr>
          <w:color w:val="1F1F1F"/>
          <w:sz w:val="20"/>
        </w:rPr>
        <w:t>B.S. in Business</w:t>
      </w:r>
      <w:r>
        <w:rPr>
          <w:color w:val="1F1F1F"/>
          <w:spacing w:val="-4"/>
          <w:sz w:val="20"/>
        </w:rPr>
        <w:t> </w:t>
      </w:r>
      <w:r>
        <w:rPr>
          <w:color w:val="1F1F1F"/>
          <w:sz w:val="20"/>
        </w:rPr>
        <w:t>Administration, University of Iowa, 2008 Challenger Sales Leadership Certiﬁcation, 2019</w:t>
      </w:r>
    </w:p>
    <w:sectPr>
      <w:pgSz w:w="11920" w:h="16860"/>
      <w:pgMar w:top="0" w:bottom="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5.png"/>
      </v:shape>
    </w:pict>
  </w:numPicBullet>
  <w:numPicBullet w:numPicBulletId="1">
    <w:pict>
      <v:shape id="_x0000_i1076" type="#_x0000_t75" style="width:7.500000pt;height:7.500000pt" o:bullet="t">
        <v:imagedata r:id="rId2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696" w:hanging="29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975" w:hanging="3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7" w:hanging="3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4" w:hanging="3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1" w:hanging="3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" w:hanging="3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5" w:hanging="3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" w:hanging="3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1" w:hanging="3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1022" w:lineRule="exact"/>
      <w:ind w:left="4016" w:right="17"/>
      <w:jc w:val="center"/>
      <w:outlineLvl w:val="1"/>
    </w:pPr>
    <w:rPr>
      <w:rFonts w:ascii="Arial" w:hAnsi="Arial" w:eastAsia="Arial" w:cs="Arial"/>
      <w:b/>
      <w:bCs/>
      <w:sz w:val="89"/>
      <w:szCs w:val="8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696" w:hanging="30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okafor@example.com" TargetMode="External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2026-06-24T18:53:41Z</dcterms:created>
  <dcterms:modified xsi:type="dcterms:W3CDTF">2026-06-24T18:53:41Z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2026-06-24T00:00:00Z</vt:filetime>
  </property>
  <property fmtid="{D5CDD505-2E9C-101B-9397-08002B2CF9AE}" pid="5" name="Producer">
    <vt:lpwstr>pdf-merger-js</vt:lpwstr>
  </property>
</Properties>
</file>