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42" w:lineRule="exact" w:before="0"/>
        <w:ind w:left="4035" w:right="0" w:firstLine="0"/>
        <w:jc w:val="center"/>
        <w:rPr>
          <w:sz w:val="87"/>
        </w:rPr>
      </w:pPr>
      <w:r>
        <w:rPr>
          <w:color w:val="134E5C"/>
          <w:spacing w:val="-2"/>
          <w:sz w:val="87"/>
        </w:rPr>
        <w:t>PRIYA</w:t>
      </w:r>
    </w:p>
    <w:p>
      <w:pPr>
        <w:spacing w:before="19"/>
        <w:ind w:left="4035" w:right="0" w:firstLine="0"/>
        <w:jc w:val="center"/>
        <w:rPr>
          <w:sz w:val="87"/>
        </w:rPr>
      </w:pPr>
      <w:r>
        <w:rPr>
          <w:color w:val="646464"/>
          <w:spacing w:val="-2"/>
          <w:sz w:val="87"/>
        </w:rPr>
        <w:t>RAGHAVAN</w:t>
      </w:r>
    </w:p>
    <w:p>
      <w:pPr>
        <w:pStyle w:val="BodyText"/>
        <w:spacing w:before="108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00" w:bottom="280" w:left="283" w:right="425"/>
        </w:sect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32"/>
        <w:ind w:left="0"/>
        <w:rPr>
          <w:sz w:val="28"/>
        </w:rPr>
      </w:pPr>
    </w:p>
    <w:p>
      <w:pPr>
        <w:pStyle w:val="Heading1"/>
        <w:spacing w:line="256" w:lineRule="auto"/>
      </w:pPr>
      <w:r>
        <w:rPr>
          <w:color w:val="134E5C"/>
          <w:spacing w:val="-2"/>
        </w:rPr>
        <w:t>CONTACT </w:t>
      </w:r>
      <w:r>
        <w:rPr>
          <w:color w:val="134E5C"/>
          <w:spacing w:val="-4"/>
        </w:rPr>
        <w:t>INFORMATION</w:t>
      </w:r>
    </w:p>
    <w:p>
      <w:pPr>
        <w:spacing w:before="226"/>
        <w:ind w:left="740" w:right="0" w:firstLine="0"/>
        <w:jc w:val="left"/>
        <w:rPr>
          <w:sz w:val="20"/>
        </w:rPr>
      </w:pPr>
      <w:r>
        <w:rPr>
          <w:color w:val="134E5C"/>
          <w:sz w:val="20"/>
        </w:rPr>
        <w:t>(704)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555-</w:t>
      </w:r>
      <w:r>
        <w:rPr>
          <w:color w:val="134E5C"/>
          <w:spacing w:val="-4"/>
          <w:sz w:val="20"/>
        </w:rPr>
        <w:t>0148</w:t>
      </w:r>
    </w:p>
    <w:p>
      <w:pPr>
        <w:spacing w:line="250" w:lineRule="atLeast" w:before="110"/>
        <w:ind w:left="740" w:right="0" w:firstLine="0"/>
        <w:jc w:val="left"/>
        <w:rPr>
          <w:sz w:val="20"/>
        </w:rPr>
      </w:pPr>
      <w:r>
        <w:rPr>
          <w:color w:val="134E5C"/>
          <w:spacing w:val="-2"/>
          <w:sz w:val="20"/>
        </w:rPr>
        <w:t>p.raghavan@example. </w:t>
      </w:r>
      <w:r>
        <w:rPr>
          <w:color w:val="134E5C"/>
          <w:spacing w:val="-4"/>
          <w:sz w:val="20"/>
        </w:rPr>
        <w:t>com</w:t>
      </w:r>
    </w:p>
    <w:p>
      <w:pPr>
        <w:spacing w:line="290" w:lineRule="auto" w:before="70"/>
        <w:ind w:left="112" w:right="50" w:firstLine="0"/>
        <w:jc w:val="center"/>
        <w:rPr>
          <w:sz w:val="20"/>
        </w:rPr>
      </w:pPr>
      <w:r>
        <w:rPr/>
        <w:br w:type="column"/>
      </w:r>
      <w:r>
        <w:rPr>
          <w:color w:val="FFFFFF"/>
          <w:sz w:val="20"/>
        </w:rPr>
        <w:t>Finance professional with 7 years across FP&amp;A, corporate ﬁnance,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and treasury at mid-market and Fortune 1000 ﬁrms. Build forecasting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models and board materials that executives actually use, and pair the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numbers with a clear story.</w:t>
      </w:r>
    </w:p>
    <w:p>
      <w:pPr>
        <w:spacing w:line="280" w:lineRule="auto" w:before="6"/>
        <w:ind w:left="112" w:right="50" w:firstLine="0"/>
        <w:jc w:val="center"/>
        <w:rPr>
          <w:sz w:val="20"/>
        </w:rPr>
      </w:pPr>
      <w:r>
        <w:rPr>
          <w:color w:val="FFFFFF"/>
          <w:sz w:val="20"/>
        </w:rPr>
        <w:t>Comfortable owning month-end close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partnerships, scenario planning, and the awkward conversations about why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 department is off plan.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41"/>
        <w:ind w:left="0"/>
        <w:rPr>
          <w:sz w:val="20"/>
        </w:rPr>
      </w:pPr>
    </w:p>
    <w:p>
      <w:pPr>
        <w:pStyle w:val="Heading1"/>
        <w:ind w:left="354"/>
      </w:pPr>
      <w:r>
        <w:rPr>
          <w:color w:val="134E5C"/>
          <w:spacing w:val="-4"/>
        </w:rPr>
        <w:t>PROFESSIONAL</w:t>
      </w:r>
      <w:r>
        <w:rPr>
          <w:color w:val="134E5C"/>
          <w:spacing w:val="4"/>
        </w:rPr>
        <w:t> </w:t>
      </w:r>
      <w:r>
        <w:rPr>
          <w:color w:val="134E5C"/>
          <w:spacing w:val="-2"/>
        </w:rPr>
        <w:t>EXPERIENCE</w:t>
      </w:r>
    </w:p>
    <w:p>
      <w:pPr>
        <w:spacing w:before="173"/>
        <w:ind w:left="354" w:right="0" w:firstLine="0"/>
        <w:jc w:val="left"/>
        <w:rPr>
          <w:sz w:val="20"/>
        </w:rPr>
      </w:pPr>
      <w:r>
        <w:rPr>
          <w:sz w:val="20"/>
        </w:rPr>
        <w:t>Senior</w:t>
      </w:r>
      <w:r>
        <w:rPr>
          <w:spacing w:val="10"/>
          <w:sz w:val="20"/>
        </w:rPr>
        <w:t> </w:t>
      </w:r>
      <w:r>
        <w:rPr>
          <w:sz w:val="20"/>
        </w:rPr>
        <w:t>Financial</w:t>
      </w:r>
      <w:r>
        <w:rPr>
          <w:spacing w:val="-3"/>
          <w:sz w:val="20"/>
        </w:rPr>
        <w:t> </w:t>
      </w:r>
      <w:r>
        <w:rPr>
          <w:sz w:val="20"/>
        </w:rPr>
        <w:t>Analyst</w:t>
      </w:r>
      <w:r>
        <w:rPr>
          <w:spacing w:val="11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Cardinal</w:t>
      </w:r>
      <w:r>
        <w:rPr>
          <w:color w:val="134E5C"/>
          <w:spacing w:val="11"/>
          <w:sz w:val="20"/>
        </w:rPr>
        <w:t> </w:t>
      </w:r>
      <w:r>
        <w:rPr>
          <w:color w:val="134E5C"/>
          <w:sz w:val="20"/>
        </w:rPr>
        <w:t>Ridge</w:t>
      </w:r>
      <w:r>
        <w:rPr>
          <w:color w:val="134E5C"/>
          <w:spacing w:val="11"/>
          <w:sz w:val="20"/>
        </w:rPr>
        <w:t> </w:t>
      </w:r>
      <w:r>
        <w:rPr>
          <w:color w:val="134E5C"/>
          <w:sz w:val="20"/>
        </w:rPr>
        <w:t>Industries,</w:t>
      </w:r>
      <w:r>
        <w:rPr>
          <w:color w:val="134E5C"/>
          <w:spacing w:val="11"/>
          <w:sz w:val="20"/>
        </w:rPr>
        <w:t> </w:t>
      </w:r>
      <w:r>
        <w:rPr>
          <w:color w:val="134E5C"/>
          <w:sz w:val="20"/>
        </w:rPr>
        <w:t>Charlotte,</w:t>
      </w:r>
      <w:r>
        <w:rPr>
          <w:color w:val="134E5C"/>
          <w:spacing w:val="11"/>
          <w:sz w:val="20"/>
        </w:rPr>
        <w:t> </w:t>
      </w:r>
      <w:r>
        <w:rPr>
          <w:color w:val="134E5C"/>
          <w:spacing w:val="-5"/>
          <w:sz w:val="20"/>
        </w:rPr>
        <w:t>NC</w:t>
      </w:r>
    </w:p>
    <w:p>
      <w:pPr>
        <w:pStyle w:val="BodyText"/>
        <w:spacing w:before="29"/>
        <w:ind w:left="354"/>
      </w:pPr>
      <w:r>
        <w:rPr>
          <w:color w:val="134E5C"/>
          <w:w w:val="105"/>
        </w:rPr>
        <w:t>February</w:t>
      </w:r>
      <w:r>
        <w:rPr>
          <w:color w:val="134E5C"/>
          <w:spacing w:val="-12"/>
          <w:w w:val="105"/>
        </w:rPr>
        <w:t> </w:t>
      </w:r>
      <w:r>
        <w:rPr>
          <w:color w:val="134E5C"/>
          <w:w w:val="105"/>
        </w:rPr>
        <w:t>2021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11"/>
          <w:w w:val="105"/>
        </w:rPr>
        <w:t> </w:t>
      </w:r>
      <w:r>
        <w:rPr>
          <w:color w:val="134E5C"/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425"/>
          <w:cols w:num="2" w:equalWidth="0">
            <w:col w:w="2841" w:space="931"/>
            <w:col w:w="7440"/>
          </w:cols>
        </w:sectPr>
      </w:pPr>
    </w:p>
    <w:p>
      <w:pPr>
        <w:spacing w:line="439" w:lineRule="auto" w:before="210"/>
        <w:ind w:left="740" w:right="0" w:firstLine="0"/>
        <w:jc w:val="left"/>
        <w:rPr>
          <w:sz w:val="20"/>
        </w:rPr>
      </w:pPr>
      <w:r>
        <w:rPr>
          <w:color w:val="134E5C"/>
          <w:spacing w:val="-2"/>
          <w:sz w:val="20"/>
        </w:rPr>
        <w:t>Linkedin.com/in/priyaraghavan </w:t>
      </w:r>
      <w:r>
        <w:rPr>
          <w:color w:val="134E5C"/>
          <w:sz w:val="20"/>
        </w:rPr>
        <w:t>Charlotte, NC</w:t>
      </w:r>
    </w:p>
    <w:p>
      <w:pPr>
        <w:pStyle w:val="BodyText"/>
        <w:spacing w:before="204"/>
        <w:ind w:left="0"/>
        <w:rPr>
          <w:sz w:val="20"/>
        </w:rPr>
      </w:pPr>
    </w:p>
    <w:p>
      <w:pPr>
        <w:pStyle w:val="Heading1"/>
      </w:pPr>
      <w:r>
        <w:rPr>
          <w:color w:val="134E5C"/>
        </w:rPr>
        <w:t>KEY</w:t>
      </w:r>
      <w:r>
        <w:rPr>
          <w:color w:val="134E5C"/>
          <w:spacing w:val="-14"/>
        </w:rPr>
        <w:t> </w:t>
      </w:r>
      <w:r>
        <w:rPr>
          <w:color w:val="134E5C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405" w:val="left" w:leader="none"/>
        </w:tabs>
        <w:spacing w:line="181" w:lineRule="exact" w:before="0" w:after="0"/>
        <w:ind w:left="405" w:right="0" w:hanging="297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Own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the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quarterly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forecast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for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$312M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operating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segment,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partnering</w:t>
      </w:r>
      <w:r>
        <w:rPr>
          <w:color w:val="134E5C"/>
          <w:spacing w:val="36"/>
          <w:w w:val="105"/>
          <w:sz w:val="18"/>
        </w:rPr>
        <w:t> </w:t>
      </w:r>
      <w:r>
        <w:rPr>
          <w:color w:val="134E5C"/>
          <w:w w:val="105"/>
          <w:sz w:val="18"/>
        </w:rPr>
        <w:t>with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spacing w:val="-10"/>
          <w:w w:val="105"/>
          <w:sz w:val="18"/>
        </w:rPr>
        <w:t>6</w:t>
      </w:r>
    </w:p>
    <w:p>
      <w:pPr>
        <w:pStyle w:val="BodyText"/>
        <w:spacing w:line="261" w:lineRule="auto" w:before="33"/>
        <w:ind w:left="406" w:right="491"/>
      </w:pPr>
      <w:r>
        <w:rPr>
          <w:color w:val="134E5C"/>
          <w:w w:val="105"/>
        </w:rPr>
        <w:t>department</w:t>
      </w:r>
      <w:r>
        <w:rPr>
          <w:color w:val="134E5C"/>
          <w:spacing w:val="-3"/>
          <w:w w:val="105"/>
        </w:rPr>
        <w:t> </w:t>
      </w:r>
      <w:r>
        <w:rPr>
          <w:color w:val="134E5C"/>
          <w:w w:val="105"/>
        </w:rPr>
        <w:t>heads</w:t>
      </w:r>
      <w:r>
        <w:rPr>
          <w:color w:val="134E5C"/>
          <w:spacing w:val="-3"/>
          <w:w w:val="105"/>
        </w:rPr>
        <w:t> </w:t>
      </w:r>
      <w:r>
        <w:rPr>
          <w:color w:val="134E5C"/>
          <w:w w:val="105"/>
        </w:rPr>
        <w:t>to</w:t>
      </w:r>
      <w:r>
        <w:rPr>
          <w:color w:val="134E5C"/>
          <w:spacing w:val="-3"/>
          <w:w w:val="105"/>
        </w:rPr>
        <w:t> </w:t>
      </w:r>
      <w:r>
        <w:rPr>
          <w:color w:val="134E5C"/>
          <w:w w:val="105"/>
        </w:rPr>
        <w:t>reconcile</w:t>
      </w:r>
      <w:r>
        <w:rPr>
          <w:color w:val="134E5C"/>
          <w:spacing w:val="-3"/>
          <w:w w:val="105"/>
        </w:rPr>
        <w:t> </w:t>
      </w:r>
      <w:r>
        <w:rPr>
          <w:color w:val="134E5C"/>
          <w:w w:val="105"/>
        </w:rPr>
        <w:t>bottoms-up</w:t>
      </w:r>
      <w:r>
        <w:rPr>
          <w:color w:val="134E5C"/>
          <w:spacing w:val="-3"/>
          <w:w w:val="105"/>
        </w:rPr>
        <w:t> </w:t>
      </w:r>
      <w:r>
        <w:rPr>
          <w:color w:val="134E5C"/>
          <w:w w:val="105"/>
        </w:rPr>
        <w:t>plans</w:t>
      </w:r>
      <w:r>
        <w:rPr>
          <w:color w:val="134E5C"/>
          <w:spacing w:val="-3"/>
          <w:w w:val="105"/>
        </w:rPr>
        <w:t> </w:t>
      </w:r>
      <w:r>
        <w:rPr>
          <w:color w:val="134E5C"/>
          <w:w w:val="105"/>
        </w:rPr>
        <w:t>against</w:t>
      </w:r>
      <w:r>
        <w:rPr>
          <w:color w:val="134E5C"/>
          <w:spacing w:val="-3"/>
          <w:w w:val="105"/>
        </w:rPr>
        <w:t> </w:t>
      </w:r>
      <w:r>
        <w:rPr>
          <w:color w:val="134E5C"/>
          <w:w w:val="105"/>
        </w:rPr>
        <w:t>the</w:t>
      </w:r>
      <w:r>
        <w:rPr>
          <w:color w:val="134E5C"/>
          <w:spacing w:val="40"/>
          <w:w w:val="105"/>
        </w:rPr>
        <w:t> </w:t>
      </w:r>
      <w:r>
        <w:rPr>
          <w:color w:val="134E5C"/>
          <w:w w:val="105"/>
        </w:rPr>
        <w:t>corporate </w:t>
      </w:r>
      <w:r>
        <w:rPr>
          <w:color w:val="134E5C"/>
          <w:spacing w:val="-2"/>
          <w:w w:val="105"/>
        </w:rPr>
        <w:t>target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78" w:lineRule="auto" w:before="103" w:after="0"/>
        <w:ind w:left="406" w:right="361" w:hanging="298"/>
        <w:jc w:val="left"/>
        <w:rPr>
          <w:sz w:val="18"/>
        </w:rPr>
      </w:pPr>
      <w:r>
        <w:rPr>
          <w:color w:val="134E5C"/>
          <w:w w:val="105"/>
          <w:sz w:val="18"/>
        </w:rPr>
        <w:t>Rebuilt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the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variance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reporting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pack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in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Power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BI,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cutting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analyst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prep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time from roughly 3 days to half a day each month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61" w:lineRule="auto" w:before="80" w:after="0"/>
        <w:ind w:left="406" w:right="409" w:hanging="298"/>
        <w:jc w:val="left"/>
        <w:rPr>
          <w:sz w:val="18"/>
        </w:rPr>
      </w:pPr>
      <w:r>
        <w:rPr>
          <w:color w:val="134E5C"/>
          <w:w w:val="105"/>
          <w:position w:val="1"/>
          <w:sz w:val="18"/>
        </w:rPr>
        <w:t>Flagged</w:t>
      </w:r>
      <w:r>
        <w:rPr>
          <w:color w:val="134E5C"/>
          <w:spacing w:val="-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</w:t>
      </w:r>
      <w:r>
        <w:rPr>
          <w:color w:val="134E5C"/>
          <w:spacing w:val="-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misclassiﬁed</w:t>
      </w:r>
      <w:r>
        <w:rPr>
          <w:color w:val="134E5C"/>
          <w:spacing w:val="-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vendor</w:t>
      </w:r>
      <w:r>
        <w:rPr>
          <w:color w:val="134E5C"/>
          <w:spacing w:val="-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accrual</w:t>
      </w:r>
      <w:r>
        <w:rPr>
          <w:color w:val="134E5C"/>
          <w:spacing w:val="-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during</w:t>
      </w:r>
      <w:r>
        <w:rPr>
          <w:color w:val="134E5C"/>
          <w:spacing w:val="-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Q3</w:t>
      </w:r>
      <w:r>
        <w:rPr>
          <w:color w:val="134E5C"/>
          <w:spacing w:val="-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close</w:t>
      </w:r>
      <w:r>
        <w:rPr>
          <w:color w:val="134E5C"/>
          <w:spacing w:val="-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that</w:t>
      </w:r>
      <w:r>
        <w:rPr>
          <w:color w:val="134E5C"/>
          <w:spacing w:val="-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would</w:t>
      </w:r>
      <w:r>
        <w:rPr>
          <w:color w:val="134E5C"/>
          <w:spacing w:val="-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have </w:t>
      </w:r>
      <w:r>
        <w:rPr>
          <w:color w:val="134E5C"/>
          <w:w w:val="105"/>
          <w:sz w:val="18"/>
        </w:rPr>
        <w:t>overstated EBITDA by about 4 percent</w:t>
      </w:r>
    </w:p>
    <w:p>
      <w:pPr>
        <w:pStyle w:val="ListParagraph"/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800" w:bottom="280" w:left="283" w:right="425"/>
          <w:cols w:num="2" w:equalWidth="0">
            <w:col w:w="3553" w:space="817"/>
            <w:col w:w="6842"/>
          </w:cols>
        </w:sectPr>
      </w:pPr>
    </w:p>
    <w:p>
      <w:pPr>
        <w:pStyle w:val="BodyText"/>
        <w:spacing w:before="4"/>
        <w:ind w:left="0"/>
      </w:pP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61" w:lineRule="auto" w:before="1" w:after="0"/>
        <w:ind w:left="591" w:right="38" w:hanging="298"/>
        <w:jc w:val="left"/>
        <w:rPr>
          <w:sz w:val="18"/>
        </w:rPr>
      </w:pPr>
      <w:r>
        <w:rPr>
          <w:color w:val="134E5C"/>
          <w:position w:val="1"/>
          <w:sz w:val="18"/>
        </w:rPr>
        <w:t>FP&amp;A and three-statement </w:t>
      </w:r>
      <w:r>
        <w:rPr>
          <w:color w:val="134E5C"/>
          <w:spacing w:val="-2"/>
          <w:w w:val="105"/>
          <w:sz w:val="18"/>
        </w:rPr>
        <w:t>modeling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61" w:lineRule="auto" w:before="87" w:after="0"/>
        <w:ind w:left="591" w:right="116" w:hanging="298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Lead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the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annual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operating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plan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for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SG&amp;A,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including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headcount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roll-forwards and a zero-based review of T&amp;E policy</w:t>
      </w:r>
    </w:p>
    <w:p>
      <w:pPr>
        <w:pStyle w:val="ListParagraph"/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800" w:bottom="280" w:left="283" w:right="425"/>
          <w:cols w:num="2" w:equalWidth="0">
            <w:col w:w="2819" w:space="1366"/>
            <w:col w:w="7027"/>
          </w:cols>
        </w:sectPr>
      </w:pP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61" w:lineRule="auto" w:before="103" w:after="0"/>
        <w:ind w:left="591" w:right="38" w:hanging="298"/>
        <w:jc w:val="left"/>
        <w:rPr>
          <w:sz w:val="18"/>
        </w:rPr>
      </w:pPr>
      <w:r>
        <w:rPr>
          <w:color w:val="134E5C"/>
          <w:spacing w:val="-2"/>
          <w:w w:val="105"/>
          <w:sz w:val="18"/>
        </w:rPr>
        <w:t>Power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BI,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Tableau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Excel (advanced)</w:t>
      </w:r>
    </w:p>
    <w:p>
      <w:pPr>
        <w:spacing w:before="10"/>
        <w:ind w:left="294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Financial</w:t>
      </w:r>
      <w:r>
        <w:rPr>
          <w:spacing w:val="-6"/>
          <w:sz w:val="20"/>
        </w:rPr>
        <w:t> </w:t>
      </w:r>
      <w:r>
        <w:rPr>
          <w:sz w:val="20"/>
        </w:rPr>
        <w:t>Analyst</w:t>
      </w:r>
      <w:r>
        <w:rPr>
          <w:spacing w:val="7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7"/>
          <w:sz w:val="20"/>
        </w:rPr>
        <w:t> </w:t>
      </w:r>
      <w:r>
        <w:rPr>
          <w:color w:val="134E5C"/>
          <w:sz w:val="20"/>
        </w:rPr>
        <w:t>Bellaway</w:t>
      </w:r>
      <w:r>
        <w:rPr>
          <w:color w:val="134E5C"/>
          <w:spacing w:val="8"/>
          <w:sz w:val="20"/>
        </w:rPr>
        <w:t> </w:t>
      </w:r>
      <w:r>
        <w:rPr>
          <w:color w:val="134E5C"/>
          <w:sz w:val="20"/>
        </w:rPr>
        <w:t>Capital</w:t>
      </w:r>
      <w:r>
        <w:rPr>
          <w:color w:val="134E5C"/>
          <w:spacing w:val="7"/>
          <w:sz w:val="20"/>
        </w:rPr>
        <w:t> </w:t>
      </w:r>
      <w:r>
        <w:rPr>
          <w:color w:val="134E5C"/>
          <w:sz w:val="20"/>
        </w:rPr>
        <w:t>Partners,</w:t>
      </w:r>
      <w:r>
        <w:rPr>
          <w:color w:val="134E5C"/>
          <w:spacing w:val="8"/>
          <w:sz w:val="20"/>
        </w:rPr>
        <w:t> </w:t>
      </w:r>
      <w:r>
        <w:rPr>
          <w:color w:val="134E5C"/>
          <w:sz w:val="20"/>
        </w:rPr>
        <w:t>Charlotte,</w:t>
      </w:r>
      <w:r>
        <w:rPr>
          <w:color w:val="134E5C"/>
          <w:spacing w:val="7"/>
          <w:sz w:val="20"/>
        </w:rPr>
        <w:t> </w:t>
      </w:r>
      <w:r>
        <w:rPr>
          <w:color w:val="134E5C"/>
          <w:spacing w:val="-5"/>
          <w:sz w:val="20"/>
        </w:rPr>
        <w:t>NC</w:t>
      </w:r>
    </w:p>
    <w:p>
      <w:pPr>
        <w:pStyle w:val="BodyText"/>
        <w:spacing w:before="28"/>
        <w:ind w:left="294"/>
      </w:pPr>
      <w:r>
        <w:rPr>
          <w:color w:val="134E5C"/>
          <w:w w:val="105"/>
        </w:rPr>
        <w:t>June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2019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January</w:t>
      </w:r>
      <w:r>
        <w:rPr>
          <w:color w:val="134E5C"/>
          <w:spacing w:val="-11"/>
          <w:w w:val="105"/>
        </w:rPr>
        <w:t> </w:t>
      </w:r>
      <w:r>
        <w:rPr>
          <w:color w:val="134E5C"/>
          <w:spacing w:val="-4"/>
          <w:w w:val="105"/>
        </w:rPr>
        <w:t>2021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425"/>
          <w:cols w:num="2" w:equalWidth="0">
            <w:col w:w="2636" w:space="1195"/>
            <w:col w:w="7381"/>
          </w:cols>
        </w:sectPr>
      </w:pP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104" w:after="0"/>
        <w:ind w:left="591" w:right="0" w:hanging="297"/>
        <w:jc w:val="left"/>
        <w:rPr>
          <w:sz w:val="18"/>
        </w:rPr>
      </w:pPr>
      <w:r>
        <w:rPr>
          <w:color w:val="134E5C"/>
          <w:spacing w:val="-5"/>
          <w:sz w:val="18"/>
        </w:rPr>
        <w:t>VBA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78" w:lineRule="auto" w:before="123" w:after="0"/>
        <w:ind w:left="591" w:right="38" w:hanging="298"/>
        <w:jc w:val="left"/>
        <w:rPr>
          <w:sz w:val="18"/>
        </w:rPr>
      </w:pPr>
      <w:r>
        <w:rPr>
          <w:color w:val="134E5C"/>
          <w:spacing w:val="-2"/>
          <w:w w:val="105"/>
          <w:sz w:val="18"/>
        </w:rPr>
        <w:t>NetSuite,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Workday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Adaptive Planning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61" w:lineRule="auto" w:before="80" w:after="0"/>
        <w:ind w:left="591" w:right="468" w:hanging="298"/>
        <w:jc w:val="left"/>
        <w:rPr>
          <w:sz w:val="18"/>
        </w:rPr>
      </w:pPr>
      <w:r>
        <w:rPr>
          <w:color w:val="134E5C"/>
          <w:w w:val="105"/>
          <w:position w:val="1"/>
          <w:sz w:val="18"/>
        </w:rPr>
        <w:t>Variance analysis and </w:t>
      </w:r>
      <w:r>
        <w:rPr>
          <w:color w:val="134E5C"/>
          <w:w w:val="105"/>
          <w:sz w:val="18"/>
        </w:rPr>
        <w:t>management</w:t>
      </w:r>
      <w:r>
        <w:rPr>
          <w:color w:val="134E5C"/>
          <w:spacing w:val="-14"/>
          <w:w w:val="105"/>
          <w:sz w:val="18"/>
        </w:rPr>
        <w:t> </w:t>
      </w:r>
      <w:r>
        <w:rPr>
          <w:color w:val="134E5C"/>
          <w:w w:val="105"/>
          <w:sz w:val="18"/>
        </w:rPr>
        <w:t>reporting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104" w:after="0"/>
        <w:ind w:left="591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M&amp;A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diligence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support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61" w:lineRule="auto" w:before="113" w:after="0"/>
        <w:ind w:left="591" w:right="110" w:hanging="298"/>
        <w:jc w:val="left"/>
        <w:rPr>
          <w:sz w:val="18"/>
        </w:rPr>
      </w:pPr>
      <w:r>
        <w:rPr>
          <w:color w:val="134E5C"/>
          <w:w w:val="105"/>
          <w:position w:val="1"/>
          <w:sz w:val="18"/>
        </w:rPr>
        <w:t>Board</w:t>
      </w:r>
      <w:r>
        <w:rPr>
          <w:color w:val="134E5C"/>
          <w:spacing w:val="-1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and</w:t>
      </w:r>
      <w:r>
        <w:rPr>
          <w:color w:val="134E5C"/>
          <w:spacing w:val="-1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audit</w:t>
      </w:r>
      <w:r>
        <w:rPr>
          <w:color w:val="134E5C"/>
          <w:spacing w:val="-1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committee </w:t>
      </w:r>
      <w:r>
        <w:rPr>
          <w:color w:val="134E5C"/>
          <w:spacing w:val="-2"/>
          <w:w w:val="105"/>
          <w:sz w:val="18"/>
        </w:rPr>
        <w:t>materials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61" w:lineRule="auto" w:before="59" w:after="0"/>
        <w:ind w:left="591" w:right="1016" w:hanging="298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Built</w:t>
      </w:r>
      <w:r>
        <w:rPr>
          <w:color w:val="134E5C"/>
          <w:spacing w:val="-14"/>
          <w:w w:val="105"/>
          <w:sz w:val="18"/>
        </w:rPr>
        <w:t> </w:t>
      </w:r>
      <w:r>
        <w:rPr>
          <w:color w:val="134E5C"/>
          <w:w w:val="105"/>
          <w:sz w:val="18"/>
        </w:rPr>
        <w:t>three-statement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models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for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prospective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lower-middle-market acquisitions in industrial services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78" w:lineRule="auto" w:before="104" w:after="0"/>
        <w:ind w:left="591" w:right="592" w:hanging="298"/>
        <w:jc w:val="left"/>
        <w:rPr>
          <w:sz w:val="18"/>
        </w:rPr>
      </w:pPr>
      <w:r>
        <w:rPr>
          <w:color w:val="134E5C"/>
          <w:w w:val="105"/>
          <w:sz w:val="18"/>
        </w:rPr>
        <w:t>Supported diligence on a $48M add-on, including working capital peg analysis and quality of earnings review with the deal team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61" w:lineRule="auto" w:before="90" w:after="0"/>
        <w:ind w:left="591" w:right="175" w:hanging="298"/>
        <w:jc w:val="left"/>
        <w:rPr>
          <w:sz w:val="18"/>
        </w:rPr>
      </w:pPr>
      <w:r>
        <w:rPr>
          <w:color w:val="134E5C"/>
          <w:w w:val="105"/>
          <w:sz w:val="18"/>
        </w:rPr>
        <w:t>Maintained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the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LP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reporting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calendar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drafted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quarterly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commentary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for 14 portfolio companies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78" w:lineRule="auto" w:before="103" w:after="0"/>
        <w:ind w:left="591" w:right="756" w:hanging="298"/>
        <w:jc w:val="left"/>
        <w:rPr>
          <w:sz w:val="18"/>
        </w:rPr>
      </w:pPr>
      <w:r>
        <w:rPr>
          <w:color w:val="134E5C"/>
          <w:w w:val="105"/>
          <w:sz w:val="18"/>
        </w:rPr>
        <w:t>Ran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covenant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compliance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checks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across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$200M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credit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facility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and escalated two near-misses to the CFO</w:t>
      </w:r>
    </w:p>
    <w:p>
      <w:pPr>
        <w:pStyle w:val="ListParagraph"/>
        <w:spacing w:after="0" w:line="278" w:lineRule="auto"/>
        <w:jc w:val="left"/>
        <w:rPr>
          <w:sz w:val="18"/>
        </w:rPr>
        <w:sectPr>
          <w:type w:val="continuous"/>
          <w:pgSz w:w="11920" w:h="16860"/>
          <w:pgMar w:top="800" w:bottom="280" w:left="283" w:right="425"/>
          <w:cols w:num="2" w:equalWidth="0">
            <w:col w:w="2963" w:space="1222"/>
            <w:col w:w="7027"/>
          </w:cols>
        </w:sectPr>
      </w:pP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103" w:after="0"/>
        <w:ind w:left="591" w:right="0" w:hanging="297"/>
        <w:jc w:val="left"/>
        <w:rPr>
          <w:sz w:val="18"/>
        </w:rPr>
      </w:pPr>
      <w:r>
        <w:rPr>
          <w:color w:val="134E5C"/>
          <w:sz w:val="18"/>
        </w:rPr>
        <w:t>SQL</w:t>
      </w:r>
      <w:r>
        <w:rPr>
          <w:color w:val="134E5C"/>
          <w:spacing w:val="-1"/>
          <w:sz w:val="18"/>
        </w:rPr>
        <w:t> </w:t>
      </w:r>
      <w:r>
        <w:rPr>
          <w:color w:val="134E5C"/>
          <w:spacing w:val="-2"/>
          <w:sz w:val="18"/>
        </w:rPr>
        <w:t>(intermediate)</w:t>
      </w:r>
    </w:p>
    <w:p>
      <w:pPr>
        <w:pStyle w:val="Heading1"/>
        <w:spacing w:before="40"/>
        <w:ind w:left="294"/>
      </w:pPr>
      <w:r>
        <w:rPr/>
        <w:br w:type="column"/>
      </w:r>
      <w:r>
        <w:rPr>
          <w:color w:val="134E5C"/>
          <w:spacing w:val="-2"/>
        </w:rPr>
        <w:t>EDUCATION</w:t>
      </w:r>
    </w:p>
    <w:p>
      <w:pPr>
        <w:spacing w:before="173"/>
        <w:ind w:left="294" w:right="0" w:firstLine="0"/>
        <w:jc w:val="left"/>
        <w:rPr>
          <w:sz w:val="20"/>
        </w:rPr>
      </w:pPr>
      <w:r>
        <w:rPr>
          <w:sz w:val="20"/>
        </w:rPr>
        <w:t>BBA,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Finance</w:t>
      </w:r>
    </w:p>
    <w:p>
      <w:pPr>
        <w:pStyle w:val="BodyText"/>
        <w:spacing w:before="29"/>
        <w:ind w:left="294"/>
      </w:pPr>
      <w:r>
        <w:rPr>
          <w:color w:val="134E5C"/>
          <w:w w:val="105"/>
        </w:rPr>
        <w:t>University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of</w:t>
      </w:r>
      <w:r>
        <w:rPr>
          <w:color w:val="134E5C"/>
          <w:spacing w:val="-12"/>
          <w:w w:val="105"/>
        </w:rPr>
        <w:t> </w:t>
      </w:r>
      <w:r>
        <w:rPr>
          <w:color w:val="134E5C"/>
          <w:w w:val="105"/>
        </w:rPr>
        <w:t>North</w:t>
      </w:r>
      <w:r>
        <w:rPr>
          <w:color w:val="134E5C"/>
          <w:spacing w:val="-12"/>
          <w:w w:val="105"/>
        </w:rPr>
        <w:t> </w:t>
      </w:r>
      <w:r>
        <w:rPr>
          <w:color w:val="134E5C"/>
          <w:w w:val="105"/>
        </w:rPr>
        <w:t>Carolina</w:t>
      </w:r>
      <w:r>
        <w:rPr>
          <w:color w:val="134E5C"/>
          <w:spacing w:val="-12"/>
          <w:w w:val="105"/>
        </w:rPr>
        <w:t> </w:t>
      </w:r>
      <w:r>
        <w:rPr>
          <w:color w:val="134E5C"/>
          <w:w w:val="105"/>
        </w:rPr>
        <w:t>at</w:t>
      </w:r>
      <w:r>
        <w:rPr>
          <w:color w:val="134E5C"/>
          <w:spacing w:val="-12"/>
          <w:w w:val="105"/>
        </w:rPr>
        <w:t> </w:t>
      </w:r>
      <w:r>
        <w:rPr>
          <w:color w:val="134E5C"/>
          <w:w w:val="105"/>
        </w:rPr>
        <w:t>Chapel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Hill</w:t>
      </w:r>
      <w:r>
        <w:rPr>
          <w:color w:val="134E5C"/>
          <w:spacing w:val="-12"/>
          <w:w w:val="105"/>
        </w:rPr>
        <w:t> </w:t>
      </w:r>
      <w:r>
        <w:rPr>
          <w:color w:val="134E5C"/>
          <w:w w:val="105"/>
        </w:rPr>
        <w:t>|</w:t>
      </w:r>
      <w:r>
        <w:rPr>
          <w:color w:val="134E5C"/>
          <w:spacing w:val="-12"/>
          <w:w w:val="105"/>
        </w:rPr>
        <w:t> </w:t>
      </w:r>
      <w:r>
        <w:rPr>
          <w:color w:val="134E5C"/>
          <w:w w:val="105"/>
        </w:rPr>
        <w:t>May</w:t>
      </w:r>
      <w:r>
        <w:rPr>
          <w:color w:val="134E5C"/>
          <w:spacing w:val="-12"/>
          <w:w w:val="105"/>
        </w:rPr>
        <w:t> </w:t>
      </w:r>
      <w:r>
        <w:rPr>
          <w:color w:val="134E5C"/>
          <w:spacing w:val="-4"/>
          <w:w w:val="105"/>
        </w:rPr>
        <w:t>2019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425"/>
          <w:cols w:num="2" w:equalWidth="0">
            <w:col w:w="2206" w:space="1626"/>
            <w:col w:w="7380"/>
          </w:cols>
        </w:sectPr>
      </w:pPr>
    </w:p>
    <w:p>
      <w:pPr>
        <w:pStyle w:val="ListParagraph"/>
        <w:numPr>
          <w:ilvl w:val="2"/>
          <w:numId w:val="1"/>
        </w:numPr>
        <w:tabs>
          <w:tab w:pos="4776" w:val="left" w:leader="none"/>
        </w:tabs>
        <w:spacing w:line="240" w:lineRule="auto" w:before="138" w:after="0"/>
        <w:ind w:left="4776" w:right="0" w:hanging="297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76487" y="12"/>
                            <a:ext cx="50920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10704830">
                                <a:moveTo>
                                  <a:pt x="5091684" y="3086087"/>
                                </a:moveTo>
                                <a:lnTo>
                                  <a:pt x="0" y="3086087"/>
                                </a:lnTo>
                                <a:lnTo>
                                  <a:pt x="0" y="10704563"/>
                                </a:lnTo>
                                <a:lnTo>
                                  <a:pt x="5091684" y="10704563"/>
                                </a:lnTo>
                                <a:lnTo>
                                  <a:pt x="5091684" y="3086087"/>
                                </a:lnTo>
                                <a:close/>
                              </a:path>
                              <a:path w="5092065" h="10704830">
                                <a:moveTo>
                                  <a:pt x="5091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4525"/>
                                </a:lnTo>
                                <a:lnTo>
                                  <a:pt x="5091684" y="1914525"/>
                                </a:lnTo>
                                <a:lnTo>
                                  <a:pt x="5091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466975" cy="870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8705850">
                                <a:moveTo>
                                  <a:pt x="2466974" y="8705849"/>
                                </a:moveTo>
                                <a:lnTo>
                                  <a:pt x="0" y="8705849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8705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555624"/>
                            <a:ext cx="1733549" cy="1739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77" y="3448050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730" y="378142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119" y="41148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80" y="43949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162174" y="1914525"/>
                            <a:ext cx="5406390" cy="1171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6390" h="1171575">
                                <a:moveTo>
                                  <a:pt x="5406008" y="1171574"/>
                                </a:moveTo>
                                <a:lnTo>
                                  <a:pt x="0" y="1171574"/>
                                </a:lnTo>
                                <a:lnTo>
                                  <a:pt x="0" y="0"/>
                                </a:lnTo>
                                <a:lnTo>
                                  <a:pt x="5406008" y="0"/>
                                </a:lnTo>
                                <a:lnTo>
                                  <a:pt x="5406008" y="1171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162174" y="3086099"/>
                            <a:ext cx="3048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81000">
                                <a:moveTo>
                                  <a:pt x="304799" y="380999"/>
                                </a:move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8816" id="docshapegroup1" coordorigin="0,0" coordsize="11919,16858">
                <v:shape style="position:absolute;left:3899;top:0;width:8019;height:16858" id="docshape2" coordorigin="3900,0" coordsize="8019,16858" path="m11918,4860l3900,4860,3900,16858,11918,16858,11918,4860xm11918,0l3900,0,3900,3015,11918,3015,11918,0xe" filled="true" fillcolor="#f5f5f5" stroked="false">
                  <v:path arrowok="t"/>
                  <v:fill type="solid"/>
                </v:shape>
                <v:rect style="position:absolute;left:0;top:0;width:3885;height:13710" id="docshape3" filled="true" fillcolor="#ffffff" stroked="false">
                  <v:fill type="solid"/>
                </v:rect>
                <v:shape style="position:absolute;left:435;top:875;width:2730;height:2740" type="#_x0000_t75" id="docshape4" stroked="false">
                  <v:imagedata r:id="rId5" o:title=""/>
                </v:shape>
                <v:shape style="position:absolute;left:585;top:5430;width:317;height:317" type="#_x0000_t75" id="docshape5" stroked="false">
                  <v:imagedata r:id="rId6" o:title=""/>
                </v:shape>
                <v:shape style="position:absolute;left:605;top:5955;width:275;height:317" type="#_x0000_t75" id="docshape6" stroked="false">
                  <v:imagedata r:id="rId7" o:title=""/>
                </v:shape>
                <v:shape style="position:absolute;left:586;top:6480;width:315;height:317" type="#_x0000_t75" id="docshape7" stroked="false">
                  <v:imagedata r:id="rId8" o:title=""/>
                </v:shape>
                <v:shape style="position:absolute;left:585;top:6921;width:317;height:274" type="#_x0000_t75" id="docshape8" stroked="false">
                  <v:imagedata r:id="rId9" o:title=""/>
                </v:shape>
                <v:rect style="position:absolute;left:3405;top:3015;width:8514;height:1845" id="docshape9" filled="true" fillcolor="#134e5c" stroked="false">
                  <v:fill type="solid"/>
                </v:rect>
                <v:shape style="position:absolute;left:3405;top:4860;width:480;height:600" id="docshape10" coordorigin="3405,4860" coordsize="480,600" path="m3885,5460l3405,4860,3885,4860,3885,5460xe" filled="true" fillcolor="#918b8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34E5C"/>
          <w:sz w:val="18"/>
        </w:rPr>
        <w:t>CFA</w:t>
      </w:r>
      <w:r>
        <w:rPr>
          <w:color w:val="134E5C"/>
          <w:spacing w:val="4"/>
          <w:sz w:val="18"/>
        </w:rPr>
        <w:t> </w:t>
      </w:r>
      <w:r>
        <w:rPr>
          <w:color w:val="134E5C"/>
          <w:sz w:val="18"/>
        </w:rPr>
        <w:t>Charterholder,</w:t>
      </w:r>
      <w:r>
        <w:rPr>
          <w:color w:val="134E5C"/>
          <w:spacing w:val="5"/>
          <w:sz w:val="18"/>
        </w:rPr>
        <w:t> </w:t>
      </w:r>
      <w:r>
        <w:rPr>
          <w:color w:val="134E5C"/>
          <w:spacing w:val="-4"/>
          <w:sz w:val="18"/>
        </w:rPr>
        <w:t>2023</w:t>
      </w:r>
    </w:p>
    <w:sectPr>
      <w:type w:val="continuous"/>
      <w:pgSz w:w="11920" w:h="16860"/>
      <w:pgMar w:top="80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06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1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76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8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0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1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9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3"/>
      <w:ind w:left="591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2026-06-21T08:42:09Z</dcterms:created>
  <dcterms:modified xsi:type="dcterms:W3CDTF">2026-06-21T08:42:09Z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2026-06-21T00:00:00Z</vt:filetime>
  </property>
  <property fmtid="{D5CDD505-2E9C-101B-9397-08002B2CF9AE}" pid="5" name="Producer">
    <vt:lpwstr>Skia/PDF m121</vt:lpwstr>
  </property>
</Properties>
</file>