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" w:right="12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George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-2"/>
          <w:sz w:val="74"/>
        </w:rPr>
        <w:t>Torres</w:t>
      </w:r>
    </w:p>
    <w:p>
      <w:pPr>
        <w:pStyle w:val="Heading1"/>
      </w:pPr>
      <w:r>
        <w:rPr>
          <w:color w:val="FFFFFF"/>
        </w:rPr>
        <w:t>Call</w:t>
      </w:r>
      <w:r>
        <w:rPr>
          <w:color w:val="FFFFFF"/>
          <w:spacing w:val="1"/>
        </w:rPr>
        <w:t> </w:t>
      </w:r>
      <w:r>
        <w:rPr>
          <w:color w:val="FFFFFF"/>
        </w:rPr>
        <w:t>Center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Representative</w:t>
      </w:r>
    </w:p>
    <w:p>
      <w:pPr>
        <w:spacing w:line="273" w:lineRule="auto" w:before="193"/>
        <w:ind w:left="590" w:right="311" w:firstLine="0"/>
        <w:jc w:val="left"/>
        <w:rPr>
          <w:sz w:val="16"/>
        </w:rPr>
      </w:pPr>
      <w:r>
        <w:rPr>
          <w:color w:val="FFFFFF"/>
          <w:w w:val="105"/>
          <w:sz w:val="16"/>
        </w:rPr>
        <w:t>Bilingual</w:t>
      </w:r>
      <w:r>
        <w:rPr>
          <w:color w:val="FFFFFF"/>
          <w:spacing w:val="-8"/>
          <w:w w:val="105"/>
          <w:sz w:val="16"/>
        </w:rPr>
        <w:t> </w:t>
      </w:r>
      <w:r>
        <w:rPr>
          <w:color w:val="FFFFFF"/>
          <w:w w:val="105"/>
          <w:sz w:val="16"/>
        </w:rPr>
        <w:t>call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center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representative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5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handling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inbound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billing,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claims,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tech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support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queues.</w:t>
      </w:r>
      <w:r>
        <w:rPr>
          <w:color w:val="FFFFFF"/>
          <w:spacing w:val="-8"/>
          <w:w w:val="105"/>
          <w:sz w:val="16"/>
        </w:rPr>
        <w:t> </w:t>
      </w:r>
      <w:r>
        <w:rPr>
          <w:color w:val="FFFFFF"/>
          <w:w w:val="105"/>
          <w:sz w:val="16"/>
        </w:rPr>
        <w:t>Top-quartile</w:t>
      </w:r>
      <w:r>
        <w:rPr>
          <w:color w:val="FFFFFF"/>
          <w:spacing w:val="-6"/>
          <w:w w:val="105"/>
          <w:sz w:val="16"/>
        </w:rPr>
        <w:t> </w:t>
      </w:r>
      <w:r>
        <w:rPr>
          <w:color w:val="FFFFFF"/>
          <w:w w:val="105"/>
          <w:sz w:val="16"/>
        </w:rPr>
        <w:t>QA</w:t>
      </w:r>
      <w:r>
        <w:rPr>
          <w:color w:val="FFFFFF"/>
          <w:spacing w:val="-12"/>
          <w:w w:val="105"/>
          <w:sz w:val="16"/>
        </w:rPr>
        <w:t> </w:t>
      </w:r>
      <w:r>
        <w:rPr>
          <w:color w:val="FFFFFF"/>
          <w:w w:val="105"/>
          <w:sz w:val="16"/>
        </w:rPr>
        <w:t>scorer</w:t>
      </w:r>
      <w:r>
        <w:rPr>
          <w:color w:val="FFFFFF"/>
          <w:spacing w:val="-5"/>
          <w:w w:val="105"/>
          <w:sz w:val="16"/>
        </w:rPr>
        <w:t> </w:t>
      </w:r>
      <w:r>
        <w:rPr>
          <w:color w:val="FFFFFF"/>
          <w:w w:val="105"/>
          <w:sz w:val="16"/>
        </w:rPr>
        <w:t>who resolves issues on ﬁrst contact and de-escalates frustrated callers without manager handoff.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283" w:right="283"/>
        </w:sectPr>
      </w:pPr>
    </w:p>
    <w:p>
      <w:pPr>
        <w:pStyle w:val="Heading2"/>
        <w:spacing w:before="81"/>
        <w:ind w:left="0" w:right="1179"/>
        <w:jc w:val="right"/>
      </w:pPr>
      <w:r>
        <w:rPr>
          <w:color w:val="FAE4CC"/>
        </w:rPr>
        <w:t>Contact</w:t>
      </w:r>
      <w:r>
        <w:rPr>
          <w:color w:val="FAE4CC"/>
          <w:spacing w:val="49"/>
        </w:rPr>
        <w:t> </w:t>
      </w:r>
      <w:r>
        <w:rPr>
          <w:color w:val="FAE4CC"/>
          <w:spacing w:val="-2"/>
        </w:rPr>
        <w:t>Information</w:t>
      </w:r>
    </w:p>
    <w:p>
      <w:pPr>
        <w:pStyle w:val="BodyText"/>
        <w:spacing w:before="45"/>
        <w:rPr>
          <w:sz w:val="22"/>
        </w:rPr>
      </w:pPr>
    </w:p>
    <w:p>
      <w:pPr>
        <w:pStyle w:val="BodyText"/>
        <w:spacing w:before="1"/>
        <w:ind w:right="1170"/>
        <w:jc w:val="right"/>
      </w:pPr>
      <w:r>
        <w:rPr>
          <w:position w:val="-6"/>
        </w:rPr>
        <w:drawing>
          <wp:inline distT="0" distB="0" distL="0" distR="0">
            <wp:extent cx="165348" cy="16192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(813) 555-0142</w:t>
      </w:r>
    </w:p>
    <w:p>
      <w:pPr>
        <w:pStyle w:val="BodyText"/>
        <w:spacing w:before="18"/>
      </w:pPr>
    </w:p>
    <w:p>
      <w:pPr>
        <w:pStyle w:val="BodyText"/>
        <w:spacing w:line="240" w:lineRule="atLeast" w:before="1"/>
        <w:ind w:left="795" w:right="74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400051</wp:posOffset>
            </wp:positionH>
            <wp:positionV relativeFrom="paragraph">
              <wp:posOffset>104685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</w:rPr>
          <w:t>marisol.tavares@example.co</w:t>
        </w:r>
      </w:hyperlink>
      <w:r>
        <w:rPr>
          <w:color w:val="424242"/>
          <w:spacing w:val="80"/>
          <w:w w:val="105"/>
        </w:rPr>
        <w:t> </w:t>
      </w:r>
      <w:r>
        <w:rPr>
          <w:color w:val="424242"/>
          <w:spacing w:val="-10"/>
          <w:w w:val="105"/>
        </w:rPr>
        <w:t>m</w:t>
      </w:r>
    </w:p>
    <w:p>
      <w:pPr>
        <w:pStyle w:val="Heading2"/>
        <w:spacing w:before="66"/>
      </w:pPr>
      <w:r>
        <w:rPr/>
        <w:br w:type="column"/>
      </w:r>
      <w:r>
        <w:rPr/>
        <w:t>Professional</w:t>
      </w:r>
      <w:r>
        <w:rPr>
          <w:spacing w:val="79"/>
        </w:rPr>
        <w:t> </w:t>
      </w:r>
      <w:r>
        <w:rPr>
          <w:spacing w:val="-2"/>
        </w:rPr>
        <w:t>Experience</w:t>
      </w:r>
    </w:p>
    <w:p>
      <w:pPr>
        <w:pStyle w:val="BodyText"/>
        <w:spacing w:before="45"/>
        <w:rPr>
          <w:sz w:val="22"/>
        </w:rPr>
      </w:pPr>
    </w:p>
    <w:p>
      <w:pPr>
        <w:pStyle w:val="BodyText"/>
        <w:spacing w:line="268" w:lineRule="auto"/>
        <w:ind w:left="51" w:right="23"/>
      </w:pPr>
      <w:r>
        <w:rPr/>
        <w:t>SENIOR CALL CENTER REPRESENTATIVE </w:t>
      </w:r>
      <w:r>
        <w:rPr>
          <w:position w:val="2"/>
        </w:rPr>
        <w:t>| </w:t>
      </w:r>
      <w:r>
        <w:rPr/>
        <w:t>CRESTMARK HEALTH SERVICES, TAMPA, </w:t>
      </w:r>
      <w:r>
        <w:rPr>
          <w:spacing w:val="-6"/>
        </w:rPr>
        <w:t>FL</w:t>
      </w:r>
    </w:p>
    <w:p>
      <w:pPr>
        <w:pStyle w:val="BodyText"/>
        <w:spacing w:line="200" w:lineRule="exact"/>
        <w:ind w:left="51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 w:line="200" w:lineRule="exact"/>
        <w:sectPr>
          <w:type w:val="continuous"/>
          <w:pgSz w:w="11920" w:h="16860"/>
          <w:pgMar w:top="820" w:bottom="280" w:left="283" w:right="283"/>
          <w:cols w:num="2" w:equalWidth="0">
            <w:col w:w="3288" w:space="395"/>
            <w:col w:w="7671"/>
          </w:cols>
        </w:sectPr>
      </w:pPr>
    </w:p>
    <w:p>
      <w:pPr>
        <w:pStyle w:val="BodyText"/>
        <w:spacing w:before="151"/>
      </w:pPr>
    </w:p>
    <w:p>
      <w:pPr>
        <w:pStyle w:val="BodyText"/>
        <w:spacing w:before="1"/>
        <w:ind w:left="346"/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Tampa, FL 12345</w:t>
      </w:r>
    </w:p>
    <w:p>
      <w:pPr>
        <w:pStyle w:val="BodyText"/>
        <w:spacing w:before="66"/>
      </w:pPr>
    </w:p>
    <w:p>
      <w:pPr>
        <w:pStyle w:val="Heading2"/>
      </w:pPr>
      <w:r>
        <w:rPr>
          <w:color w:val="FAE4CC"/>
          <w:spacing w:val="-2"/>
        </w:rPr>
        <w:t>Education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246" w:after="0"/>
        <w:ind w:left="646" w:right="0" w:hanging="298"/>
        <w:jc w:val="left"/>
        <w:rPr>
          <w:sz w:val="18"/>
        </w:rPr>
      </w:pPr>
      <w:r>
        <w:rPr>
          <w:w w:val="105"/>
          <w:sz w:val="18"/>
        </w:rPr>
        <w:t>Associate of Arts, Business Administration, Hillsborough</w:t>
      </w:r>
    </w:p>
    <w:p>
      <w:pPr>
        <w:pStyle w:val="BodyText"/>
        <w:spacing w:before="25"/>
        <w:ind w:left="646"/>
      </w:pPr>
      <w:r>
        <w:rPr>
          <w:w w:val="105"/>
        </w:rPr>
        <w:t>Community</w:t>
      </w:r>
      <w:r>
        <w:rPr>
          <w:spacing w:val="18"/>
          <w:w w:val="105"/>
        </w:rPr>
        <w:t> </w:t>
      </w:r>
      <w:r>
        <w:rPr>
          <w:w w:val="105"/>
        </w:rPr>
        <w:t>College,</w:t>
      </w:r>
      <w:r>
        <w:rPr>
          <w:spacing w:val="18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0" w:after="0"/>
        <w:ind w:left="646" w:right="56" w:hanging="298"/>
        <w:jc w:val="left"/>
        <w:rPr>
          <w:sz w:val="18"/>
        </w:rPr>
      </w:pPr>
      <w:r>
        <w:rPr>
          <w:w w:val="105"/>
          <w:sz w:val="18"/>
        </w:rPr>
        <w:t>HIPAA Privacy and Security Certification, 2022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</w:tabs>
        <w:spacing w:line="235" w:lineRule="exact" w:before="0" w:after="0"/>
        <w:ind w:left="347" w:right="0" w:hanging="296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Handle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78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inbound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member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calls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daily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billing,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eligibility,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claims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status</w:t>
      </w:r>
    </w:p>
    <w:p>
      <w:pPr>
        <w:pStyle w:val="BodyText"/>
        <w:spacing w:line="177" w:lineRule="exact"/>
        <w:ind w:left="349"/>
      </w:pPr>
      <w:r>
        <w:rPr>
          <w:w w:val="105"/>
        </w:rPr>
        <w:t>queues</w:t>
      </w:r>
      <w:r>
        <w:rPr>
          <w:spacing w:val="18"/>
          <w:w w:val="105"/>
        </w:rPr>
        <w:t> </w:t>
      </w:r>
      <w:r>
        <w:rPr>
          <w:w w:val="105"/>
        </w:rPr>
        <w:t>while</w:t>
      </w:r>
      <w:r>
        <w:rPr>
          <w:spacing w:val="18"/>
          <w:w w:val="105"/>
        </w:rPr>
        <w:t> </w:t>
      </w:r>
      <w:r>
        <w:rPr>
          <w:w w:val="105"/>
        </w:rPr>
        <w:t>holding</w:t>
      </w:r>
      <w:r>
        <w:rPr>
          <w:spacing w:val="18"/>
          <w:w w:val="105"/>
        </w:rPr>
        <w:t> </w:t>
      </w:r>
      <w:r>
        <w:rPr>
          <w:w w:val="105"/>
        </w:rPr>
        <w:t>average</w:t>
      </w:r>
      <w:r>
        <w:rPr>
          <w:spacing w:val="18"/>
          <w:w w:val="105"/>
        </w:rPr>
        <w:t> </w:t>
      </w:r>
      <w:r>
        <w:rPr>
          <w:w w:val="105"/>
        </w:rPr>
        <w:t>handle</w:t>
      </w:r>
      <w:r>
        <w:rPr>
          <w:spacing w:val="18"/>
          <w:w w:val="105"/>
        </w:rPr>
        <w:t> </w:t>
      </w:r>
      <w:r>
        <w:rPr>
          <w:w w:val="105"/>
        </w:rPr>
        <w:t>time</w:t>
      </w:r>
      <w:r>
        <w:rPr>
          <w:spacing w:val="18"/>
          <w:w w:val="105"/>
        </w:rPr>
        <w:t> </w:t>
      </w:r>
      <w:r>
        <w:rPr>
          <w:w w:val="105"/>
        </w:rPr>
        <w:t>under</w:t>
      </w:r>
      <w:r>
        <w:rPr>
          <w:spacing w:val="18"/>
          <w:w w:val="105"/>
        </w:rPr>
        <w:t> </w:t>
      </w:r>
      <w:r>
        <w:rPr>
          <w:spacing w:val="-4"/>
          <w:w w:val="105"/>
        </w:rPr>
        <w:t>5:30.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201" w:lineRule="auto" w:before="89" w:after="0"/>
        <w:ind w:left="349" w:right="693" w:hanging="298"/>
        <w:jc w:val="left"/>
        <w:rPr>
          <w:sz w:val="18"/>
        </w:rPr>
      </w:pPr>
      <w:r>
        <w:rPr>
          <w:w w:val="105"/>
          <w:sz w:val="18"/>
        </w:rPr>
        <w:t>Maintained a 94.6% first-call resolution rate over the last four quarters, the highest on a team of 22 reps.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201" w:lineRule="auto" w:before="82" w:after="0"/>
        <w:ind w:left="349" w:right="262" w:hanging="298"/>
        <w:jc w:val="left"/>
        <w:rPr>
          <w:sz w:val="18"/>
        </w:rPr>
      </w:pPr>
      <w:r>
        <w:rPr>
          <w:w w:val="105"/>
          <w:sz w:val="18"/>
        </w:rPr>
        <w:t>Selected as Spanish-language escalation point for the Southeast region, taking transferred calls from three other sites.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189" w:lineRule="auto" w:before="109" w:after="0"/>
        <w:ind w:left="349" w:right="838" w:hanging="298"/>
        <w:jc w:val="left"/>
        <w:rPr>
          <w:sz w:val="18"/>
        </w:rPr>
      </w:pPr>
      <w:r>
        <w:rPr>
          <w:w w:val="105"/>
          <w:sz w:val="18"/>
        </w:rPr>
        <w:t>Trained six new hires during nesting, covering HIPAA scripting and CRM navigation in Salesforce Service Cloud.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  <w:tab w:pos="349" w:val="left" w:leader="none"/>
        </w:tabs>
        <w:spacing w:line="201" w:lineRule="auto" w:before="98" w:after="0"/>
        <w:ind w:left="349" w:right="504" w:hanging="298"/>
        <w:jc w:val="left"/>
        <w:rPr>
          <w:sz w:val="18"/>
        </w:rPr>
      </w:pPr>
      <w:r>
        <w:rPr>
          <w:w w:val="105"/>
          <w:sz w:val="18"/>
        </w:rPr>
        <w:t>Flagged a recurring claims denial pattern that led ops to fix an EDI mapping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issue, eliminating roughly 40 repeat calls per week.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820" w:bottom="280" w:left="283" w:right="283"/>
          <w:cols w:num="2" w:equalWidth="0">
            <w:col w:w="3088" w:space="836"/>
            <w:col w:w="7430"/>
          </w:cols>
        </w:sectPr>
      </w:pPr>
    </w:p>
    <w:p>
      <w:pPr>
        <w:pStyle w:val="BodyText"/>
        <w:spacing w:before="51"/>
        <w:rPr>
          <w:sz w:val="22"/>
        </w:rPr>
      </w:pPr>
    </w:p>
    <w:p>
      <w:pPr>
        <w:pStyle w:val="Heading2"/>
      </w:pPr>
      <w:r>
        <w:rPr>
          <w:color w:val="FAE4CC"/>
        </w:rPr>
        <w:t>Key</w:t>
      </w:r>
      <w:r>
        <w:rPr>
          <w:color w:val="FAE4CC"/>
          <w:spacing w:val="25"/>
        </w:rPr>
        <w:t> </w:t>
      </w:r>
      <w:r>
        <w:rPr>
          <w:color w:val="FAE4CC"/>
          <w:spacing w:val="-2"/>
        </w:rPr>
        <w:t>Skills</w:t>
      </w:r>
    </w:p>
    <w:p>
      <w:pPr>
        <w:pStyle w:val="BodyText"/>
        <w:spacing w:line="268" w:lineRule="auto" w:before="150"/>
        <w:ind w:left="51" w:right="795"/>
      </w:pPr>
      <w:r>
        <w:rPr/>
        <w:br w:type="column"/>
      </w:r>
      <w:r>
        <w:rPr/>
        <w:t>CUSTOMER</w:t>
      </w:r>
      <w:r>
        <w:rPr>
          <w:spacing w:val="-2"/>
        </w:rPr>
        <w:t> </w:t>
      </w:r>
      <w:r>
        <w:rPr/>
        <w:t>SERVICE</w:t>
      </w:r>
      <w:r>
        <w:rPr>
          <w:spacing w:val="-2"/>
        </w:rPr>
        <w:t> </w:t>
      </w:r>
      <w:r>
        <w:rPr/>
        <w:t>REPRESENTATIVE</w:t>
      </w:r>
      <w:r>
        <w:rPr>
          <w:spacing w:val="-2"/>
        </w:rPr>
        <w:t> </w:t>
      </w:r>
      <w:r>
        <w:rPr>
          <w:position w:val="2"/>
        </w:rPr>
        <w:t>|</w:t>
      </w:r>
      <w:r>
        <w:rPr>
          <w:spacing w:val="-2"/>
          <w:position w:val="2"/>
        </w:rPr>
        <w:t> </w:t>
      </w:r>
      <w:r>
        <w:rPr/>
        <w:t>BAYLINE</w:t>
      </w:r>
      <w:r>
        <w:rPr>
          <w:spacing w:val="-2"/>
        </w:rPr>
        <w:t> </w:t>
      </w:r>
      <w:r>
        <w:rPr/>
        <w:t>WIRELESS,</w:t>
      </w:r>
      <w:r>
        <w:rPr>
          <w:spacing w:val="-2"/>
        </w:rPr>
        <w:t> </w:t>
      </w:r>
      <w:r>
        <w:rPr/>
        <w:t>TAMPA,</w:t>
      </w:r>
      <w:r>
        <w:rPr>
          <w:spacing w:val="-2"/>
        </w:rPr>
        <w:t> </w:t>
      </w:r>
      <w:r>
        <w:rPr/>
        <w:t>FL 2020 – 2022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283" w:right="283"/>
          <w:cols w:num="2" w:equalWidth="0">
            <w:col w:w="1073" w:space="2610"/>
            <w:col w:w="7671"/>
          </w:cols>
        </w:sectPr>
      </w:pP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43" w:lineRule="exact" w:before="131" w:after="0"/>
        <w:ind w:left="645" w:right="0" w:hanging="296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396073" y="8143874"/>
                            <a:ext cx="5172710" cy="256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2560955">
                                <a:moveTo>
                                  <a:pt x="0" y="2560701"/>
                                </a:moveTo>
                                <a:lnTo>
                                  <a:pt x="5172110" y="2560701"/>
                                </a:lnTo>
                                <a:lnTo>
                                  <a:pt x="5172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07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86000">
                                <a:moveTo>
                                  <a:pt x="7568183" y="2285999"/>
                                </a:moveTo>
                                <a:lnTo>
                                  <a:pt x="0" y="22859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85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00299" y="2285999"/>
                            <a:ext cx="5168265" cy="585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5857875">
                                <a:moveTo>
                                  <a:pt x="5167883" y="5857874"/>
                                </a:moveTo>
                                <a:lnTo>
                                  <a:pt x="0" y="585787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5857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76768" id="docshapegroup1" coordorigin="0,0" coordsize="11919,16858">
                <v:rect style="position:absolute;left:3773;top:12825;width:8146;height:4033" id="docshape2" filled="true" fillcolor="#fae4cc" stroked="false">
                  <v:fill opacity="32899f" type="solid"/>
                </v:rect>
                <v:rect style="position:absolute;left:0;top:0;width:11919;height:3600" id="docshape3" filled="true" fillcolor="#424242" stroked="false">
                  <v:fill type="solid"/>
                </v:rect>
                <v:rect style="position:absolute;left:3780;top:3600;width:8139;height:9225" id="docshape4" filled="true" fillcolor="#fae4cc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w w:val="105"/>
          <w:sz w:val="18"/>
        </w:rPr>
        <w:t>Salesforce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12"/>
          <w:w w:val="105"/>
          <w:sz w:val="18"/>
        </w:rPr>
        <w:t> </w:t>
      </w:r>
      <w:r>
        <w:rPr>
          <w:spacing w:val="-4"/>
          <w:w w:val="105"/>
          <w:sz w:val="18"/>
        </w:rPr>
        <w:t>Cloud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30" w:lineRule="exact" w:before="0" w:after="0"/>
        <w:ind w:left="645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Zendesk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30" w:lineRule="exact" w:before="0" w:after="0"/>
        <w:ind w:left="645" w:right="0" w:hanging="296"/>
        <w:jc w:val="left"/>
        <w:rPr>
          <w:sz w:val="18"/>
        </w:rPr>
      </w:pPr>
      <w:r>
        <w:rPr>
          <w:sz w:val="18"/>
        </w:rPr>
        <w:t>Avaya</w:t>
      </w:r>
      <w:r>
        <w:rPr>
          <w:spacing w:val="33"/>
          <w:sz w:val="18"/>
        </w:rPr>
        <w:t> </w:t>
      </w:r>
      <w:r>
        <w:rPr>
          <w:spacing w:val="-5"/>
          <w:sz w:val="18"/>
        </w:rPr>
        <w:t>CMS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23" w:lineRule="exact" w:before="0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Bilingual: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English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/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Spanish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23" w:lineRule="exact" w:before="0" w:after="0"/>
        <w:ind w:left="645" w:right="0" w:hanging="296"/>
        <w:jc w:val="left"/>
        <w:rPr>
          <w:sz w:val="18"/>
        </w:rPr>
      </w:pPr>
      <w:r>
        <w:rPr>
          <w:sz w:val="18"/>
        </w:rPr>
        <w:t>De-</w:t>
      </w:r>
      <w:r>
        <w:rPr>
          <w:spacing w:val="-2"/>
          <w:sz w:val="18"/>
        </w:rPr>
        <w:t>escalation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30" w:lineRule="exact" w:before="0" w:after="0"/>
        <w:ind w:left="645" w:right="0" w:hanging="296"/>
        <w:jc w:val="left"/>
        <w:rPr>
          <w:sz w:val="18"/>
        </w:rPr>
      </w:pPr>
      <w:r>
        <w:rPr>
          <w:sz w:val="18"/>
        </w:rPr>
        <w:t>HIPAA</w:t>
      </w:r>
      <w:r>
        <w:rPr>
          <w:spacing w:val="12"/>
          <w:sz w:val="18"/>
        </w:rPr>
        <w:t> </w:t>
      </w:r>
      <w:r>
        <w:rPr>
          <w:spacing w:val="-2"/>
          <w:sz w:val="18"/>
        </w:rPr>
        <w:t>compliance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30" w:lineRule="exact" w:before="0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Active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listening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23" w:lineRule="exact" w:before="0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Multi-line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phone</w:t>
      </w:r>
      <w:r>
        <w:rPr>
          <w:spacing w:val="19"/>
          <w:w w:val="105"/>
          <w:sz w:val="18"/>
        </w:rPr>
        <w:t> </w:t>
      </w:r>
      <w:r>
        <w:rPr>
          <w:spacing w:val="-2"/>
          <w:w w:val="105"/>
          <w:sz w:val="18"/>
        </w:rPr>
        <w:t>systems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23" w:lineRule="exact" w:before="0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Soft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skills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coaching</w:t>
      </w:r>
    </w:p>
    <w:p>
      <w:pPr>
        <w:pStyle w:val="ListParagraph"/>
        <w:numPr>
          <w:ilvl w:val="1"/>
          <w:numId w:val="1"/>
        </w:numPr>
        <w:tabs>
          <w:tab w:pos="645" w:val="left" w:leader="none"/>
        </w:tabs>
        <w:spacing w:line="343" w:lineRule="exact" w:before="0" w:after="0"/>
        <w:ind w:left="645" w:right="0" w:hanging="296"/>
        <w:jc w:val="left"/>
        <w:rPr>
          <w:sz w:val="18"/>
        </w:rPr>
      </w:pPr>
      <w:r>
        <w:rPr>
          <w:sz w:val="18"/>
        </w:rPr>
        <w:t>Typing</w:t>
      </w:r>
      <w:r>
        <w:rPr>
          <w:spacing w:val="26"/>
          <w:sz w:val="18"/>
        </w:rPr>
        <w:t> </w:t>
      </w:r>
      <w:r>
        <w:rPr>
          <w:sz w:val="18"/>
        </w:rPr>
        <w:t>65</w:t>
      </w:r>
      <w:r>
        <w:rPr>
          <w:spacing w:val="27"/>
          <w:sz w:val="18"/>
        </w:rPr>
        <w:t> </w:t>
      </w:r>
      <w:r>
        <w:rPr>
          <w:spacing w:val="-5"/>
          <w:sz w:val="18"/>
        </w:rPr>
        <w:t>WPM</w:t>
      </w:r>
    </w:p>
    <w:p>
      <w:pPr>
        <w:pStyle w:val="BodyText"/>
        <w:spacing w:before="7"/>
      </w:pPr>
      <w:r>
        <w:rPr/>
        <w:br w:type="column"/>
      </w:r>
      <w:r>
        <w:rPr/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60" w:hanging="298"/>
        <w:jc w:val="left"/>
        <w:rPr>
          <w:sz w:val="18"/>
        </w:rPr>
      </w:pPr>
      <w:r>
        <w:rPr>
          <w:w w:val="105"/>
          <w:sz w:val="18"/>
        </w:rPr>
        <w:t>Resolved billing disputes, plan changes, and device troubleshooting for postpaid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wireless customers averaging 60-70 calls per shift.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82" w:after="0"/>
        <w:ind w:left="646" w:right="334" w:hanging="298"/>
        <w:jc w:val="left"/>
        <w:rPr>
          <w:sz w:val="18"/>
        </w:rPr>
      </w:pPr>
      <w:r>
        <w:rPr>
          <w:w w:val="105"/>
          <w:sz w:val="18"/>
        </w:rPr>
        <w:t>Hit 112% of monthly retention quota by saving accounts through targeted plan rightsizing and loyalty credits.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111" w:hanging="298"/>
        <w:jc w:val="left"/>
        <w:rPr>
          <w:sz w:val="18"/>
        </w:rPr>
      </w:pPr>
      <w:r>
        <w:rPr>
          <w:w w:val="105"/>
          <w:sz w:val="18"/>
        </w:rPr>
        <w:t>Earned QA score of 98 across 12 monthly audits, recognized twice as Rep of the </w:t>
      </w:r>
      <w:r>
        <w:rPr>
          <w:spacing w:val="-2"/>
          <w:w w:val="105"/>
          <w:sz w:val="18"/>
        </w:rPr>
        <w:t>Month.</w:t>
      </w:r>
    </w:p>
    <w:p>
      <w:pPr>
        <w:pStyle w:val="ListParagraph"/>
        <w:numPr>
          <w:ilvl w:val="1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149" w:hanging="298"/>
        <w:jc w:val="left"/>
        <w:rPr>
          <w:sz w:val="18"/>
        </w:rPr>
      </w:pPr>
      <w:r>
        <w:rPr>
          <w:w w:val="105"/>
          <w:sz w:val="18"/>
        </w:rPr>
        <w:t>Documented call notes and case dispositions in Zendesk and Avaya CMS within wrap-up windows.</w:t>
      </w:r>
    </w:p>
    <w:sectPr>
      <w:type w:val="continuous"/>
      <w:pgSz w:w="11920" w:h="16860"/>
      <w:pgMar w:top="820" w:bottom="280" w:left="283" w:right="283"/>
      <w:cols w:num="2" w:equalWidth="0">
        <w:col w:w="3039" w:space="588"/>
        <w:col w:w="77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1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5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9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3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31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558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12" w:right="9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1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isol.tavares@example.co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2026-06-26T20:47:23Z</dcterms:created>
  <dcterms:modified xsi:type="dcterms:W3CDTF">2026-06-26T20:47:23Z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