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ROSALIND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OKAFOR</w:t>
      </w:r>
    </w:p>
    <w:p>
      <w:pPr>
        <w:spacing w:line="273" w:lineRule="auto" w:before="218"/>
        <w:ind w:left="448" w:right="555" w:firstLine="0"/>
        <w:jc w:val="left"/>
        <w:rPr>
          <w:sz w:val="16"/>
        </w:rPr>
      </w:pPr>
      <w:r>
        <w:rPr>
          <w:color w:val="FFFFFF"/>
          <w:w w:val="105"/>
          <w:sz w:val="16"/>
        </w:rPr>
        <w:t>Director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business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operations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14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consumer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goods,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services,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one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early-stage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marketplace.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Built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rebuilt FP&amp;A,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RevOps,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BI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functions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three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CEO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transitions.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owning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both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operating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model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room where it gets argued about.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425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pStyle w:val="Heading1"/>
      </w:pPr>
      <w:r>
        <w:rPr>
          <w:smallCaps/>
          <w:color w:val="F5F5F5"/>
          <w:w w:val="95"/>
        </w:rPr>
        <w:t>Contact</w:t>
      </w:r>
      <w:r>
        <w:rPr>
          <w:smallCaps/>
          <w:color w:val="F5F5F5"/>
          <w:spacing w:val="-3"/>
        </w:rPr>
        <w:t> </w:t>
      </w:r>
      <w:r>
        <w:rPr>
          <w:smallCaps/>
          <w:color w:val="F5F5F5"/>
          <w:spacing w:val="-2"/>
          <w:w w:val="90"/>
        </w:rPr>
        <w:t>Information</w:t>
      </w:r>
    </w:p>
    <w:p>
      <w:pPr>
        <w:spacing w:before="52"/>
        <w:ind w:left="58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smallCaps/>
          <w:color w:val="080808"/>
          <w:spacing w:val="4"/>
          <w:w w:val="90"/>
          <w:sz w:val="28"/>
        </w:rPr>
        <w:t>Professional</w:t>
      </w:r>
      <w:r>
        <w:rPr>
          <w:b/>
          <w:smallCaps/>
          <w:color w:val="080808"/>
          <w:spacing w:val="55"/>
          <w:sz w:val="28"/>
        </w:rPr>
        <w:t> </w:t>
      </w:r>
      <w:r>
        <w:rPr>
          <w:b/>
          <w:smallCaps/>
          <w:color w:val="080808"/>
          <w:spacing w:val="-2"/>
          <w:w w:val="95"/>
          <w:sz w:val="28"/>
        </w:rPr>
        <w:t>Experience</w:t>
      </w: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line="268" w:lineRule="auto"/>
        <w:ind w:left="170" w:right="627"/>
      </w:pPr>
      <w:r>
        <w:rPr>
          <w:w w:val="105"/>
        </w:rPr>
        <w:t>Director, Business Operations </w:t>
      </w:r>
      <w:r>
        <w:rPr>
          <w:w w:val="105"/>
          <w:position w:val="2"/>
        </w:rPr>
        <w:t>| </w:t>
      </w:r>
      <w:r>
        <w:rPr>
          <w:w w:val="105"/>
        </w:rPr>
        <w:t>Holloway Carter Brands, Tampa, FL September 2020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283"/>
          <w:cols w:num="2" w:equalWidth="0">
            <w:col w:w="2678" w:space="1153"/>
            <w:col w:w="7381"/>
          </w:cols>
        </w:sectPr>
      </w:pPr>
    </w:p>
    <w:p>
      <w:pPr>
        <w:pStyle w:val="BodyText"/>
        <w:spacing w:before="68"/>
        <w:ind w:left="597"/>
      </w:pPr>
      <w:r>
        <w:rPr>
          <w:color w:val="424242"/>
        </w:rPr>
        <w:t>(813)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0193</w:t>
      </w:r>
    </w:p>
    <w:p>
      <w:pPr>
        <w:pStyle w:val="BodyText"/>
        <w:spacing w:before="111"/>
      </w:pPr>
    </w:p>
    <w:p>
      <w:pPr>
        <w:pStyle w:val="BodyText"/>
        <w:spacing w:line="626" w:lineRule="auto"/>
        <w:ind w:left="597"/>
      </w:pPr>
      <w:hyperlink r:id="rId5">
        <w:r>
          <w:rPr>
            <w:color w:val="424242"/>
            <w:spacing w:val="-2"/>
            <w:w w:val="105"/>
          </w:rPr>
          <w:t>r.okafor@example.com</w:t>
        </w:r>
      </w:hyperlink>
      <w:r>
        <w:rPr>
          <w:color w:val="424242"/>
          <w:spacing w:val="-2"/>
          <w:w w:val="105"/>
        </w:rPr>
        <w:t> </w:t>
      </w:r>
      <w:r>
        <w:rPr>
          <w:color w:val="424242"/>
          <w:spacing w:val="-2"/>
        </w:rPr>
        <w:t>linkedin.com/in/rosalindokafor </w:t>
      </w:r>
      <w:r>
        <w:rPr>
          <w:color w:val="424242"/>
          <w:w w:val="105"/>
        </w:rPr>
        <w:t>Tampa, FL, OH</w:t>
      </w:r>
    </w:p>
    <w:p>
      <w:pPr>
        <w:pStyle w:val="Heading1"/>
        <w:spacing w:before="116"/>
      </w:pPr>
      <w:r>
        <w:rPr>
          <w:smallCaps/>
          <w:color w:val="F5F5F5"/>
          <w:spacing w:val="-2"/>
        </w:rPr>
        <w:t>Education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22" w:after="0"/>
        <w:ind w:left="355" w:right="58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Own the operating model for a $186M consumer brand portfolio across grocery, club, and DTC channels.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10" w:after="0"/>
        <w:ind w:left="355" w:right="251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integration of two acquired brands in 2022, including the rebuild of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the joint forecast and 27 SKU rationalizations.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98" w:after="0"/>
        <w:ind w:left="355" w:right="342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a team of 9 across FP&amp;A, BI, and Sales Ops; reduced month-end close from 11 business days to 6.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4" w:lineRule="auto" w:before="77" w:after="0"/>
        <w:ind w:left="355" w:right="735" w:hanging="298"/>
        <w:jc w:val="left"/>
        <w:rPr>
          <w:position w:val="-2"/>
          <w:sz w:val="31"/>
        </w:rPr>
      </w:pPr>
      <w:r>
        <w:rPr>
          <w:w w:val="105"/>
          <w:sz w:val="18"/>
        </w:rPr>
        <w:t>Chair the weekly executive operating review and the quarterly pricing </w:t>
      </w:r>
      <w:r>
        <w:rPr>
          <w:spacing w:val="-2"/>
          <w:w w:val="105"/>
          <w:sz w:val="18"/>
        </w:rPr>
        <w:t>committee.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07" w:after="0"/>
        <w:ind w:left="355" w:right="759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RFP and rollout of Anaplan, replacing 14 disconnected Excel </w:t>
      </w:r>
      <w:r>
        <w:rPr>
          <w:spacing w:val="-2"/>
          <w:w w:val="105"/>
          <w:sz w:val="18"/>
        </w:rPr>
        <w:t>models.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283"/>
          <w:cols w:num="2" w:equalWidth="0">
            <w:col w:w="3047" w:space="1064"/>
            <w:col w:w="7101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820" w:bottom="280" w:left="425" w:right="283"/>
        </w:sectPr>
      </w:pPr>
    </w:p>
    <w:p>
      <w:pPr>
        <w:spacing w:before="79"/>
        <w:ind w:left="170" w:right="0" w:firstLine="0"/>
        <w:jc w:val="left"/>
        <w:rPr>
          <w:sz w:val="16"/>
        </w:rPr>
      </w:pPr>
      <w:r>
        <w:rPr>
          <w:color w:val="424242"/>
          <w:spacing w:val="-2"/>
          <w:w w:val="105"/>
          <w:sz w:val="16"/>
        </w:rPr>
        <w:t>M.B.A</w:t>
      </w:r>
    </w:p>
    <w:p>
      <w:pPr>
        <w:spacing w:line="273" w:lineRule="auto" w:before="26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Emory University Goizueta Business </w:t>
      </w:r>
      <w:r>
        <w:rPr>
          <w:color w:val="424242"/>
          <w:spacing w:val="-2"/>
          <w:w w:val="105"/>
          <w:sz w:val="16"/>
        </w:rPr>
        <w:t>School</w:t>
      </w:r>
    </w:p>
    <w:p>
      <w:pPr>
        <w:spacing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August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spacing w:val="-4"/>
          <w:w w:val="105"/>
          <w:sz w:val="16"/>
        </w:rPr>
        <w:t>2014</w:t>
      </w:r>
    </w:p>
    <w:p>
      <w:pPr>
        <w:pStyle w:val="BodyText"/>
        <w:spacing w:before="112"/>
        <w:rPr>
          <w:sz w:val="16"/>
        </w:rPr>
      </w:pPr>
    </w:p>
    <w:p>
      <w:pPr>
        <w:spacing w:before="1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B.S.</w:t>
      </w:r>
      <w:r>
        <w:rPr>
          <w:color w:val="424242"/>
          <w:spacing w:val="11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Finance</w:t>
      </w:r>
    </w:p>
    <w:p>
      <w:pPr>
        <w:spacing w:line="273" w:lineRule="auto" w:before="26"/>
        <w:ind w:left="170" w:right="764" w:firstLine="0"/>
        <w:jc w:val="left"/>
        <w:rPr>
          <w:sz w:val="16"/>
        </w:rPr>
      </w:pPr>
      <w:r>
        <w:rPr>
          <w:color w:val="424242"/>
          <w:w w:val="105"/>
          <w:sz w:val="16"/>
        </w:rPr>
        <w:t>Florida State </w:t>
      </w:r>
      <w:r>
        <w:rPr>
          <w:color w:val="424242"/>
          <w:w w:val="105"/>
          <w:sz w:val="16"/>
        </w:rPr>
        <w:t>University April 2011</w:t>
      </w:r>
    </w:p>
    <w:p>
      <w:pPr>
        <w:pStyle w:val="BodyText"/>
        <w:rPr>
          <w:sz w:val="16"/>
        </w:rPr>
      </w:pPr>
    </w:p>
    <w:p>
      <w:pPr>
        <w:pStyle w:val="BodyText"/>
        <w:spacing w:before="44"/>
        <w:rPr>
          <w:sz w:val="16"/>
        </w:rPr>
      </w:pPr>
    </w:p>
    <w:p>
      <w:pPr>
        <w:pStyle w:val="Heading1"/>
        <w:spacing w:before="1"/>
      </w:pPr>
      <w:r>
        <w:rPr>
          <w:smallCaps/>
          <w:color w:val="F5F5F5"/>
        </w:rPr>
        <w:t>Key</w:t>
      </w:r>
      <w:r>
        <w:rPr>
          <w:smallCaps/>
          <w:color w:val="F5F5F5"/>
          <w:spacing w:val="-12"/>
        </w:rPr>
        <w:t> </w:t>
      </w:r>
      <w:r>
        <w:rPr>
          <w:smallCaps/>
          <w:color w:val="F5F5F5"/>
          <w:spacing w:val="-2"/>
        </w:rPr>
        <w:t>Skills</w:t>
      </w:r>
    </w:p>
    <w:p>
      <w:pPr>
        <w:pStyle w:val="BodyText"/>
        <w:spacing w:before="21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line="268" w:lineRule="auto" w:before="1"/>
        <w:ind w:left="58" w:right="1194"/>
      </w:pPr>
      <w:r>
        <w:rPr>
          <w:w w:val="105"/>
        </w:rPr>
        <w:t>Head of Revenue Operations </w:t>
      </w:r>
      <w:r>
        <w:rPr>
          <w:w w:val="105"/>
          <w:position w:val="2"/>
        </w:rPr>
        <w:t>| </w:t>
      </w:r>
      <w:r>
        <w:rPr>
          <w:w w:val="105"/>
        </w:rPr>
        <w:t>Tidefall Marketplace,</w:t>
      </w:r>
      <w:r>
        <w:rPr>
          <w:spacing w:val="-1"/>
          <w:w w:val="105"/>
        </w:rPr>
        <w:t> </w:t>
      </w:r>
      <w:r>
        <w:rPr>
          <w:w w:val="105"/>
        </w:rPr>
        <w:t>Atlanta, GA January 2017 – August 2020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  <w:tab w:pos="523" w:val="left" w:leader="none"/>
        </w:tabs>
        <w:spacing w:line="201" w:lineRule="auto" w:before="94" w:after="0"/>
        <w:ind w:left="523" w:right="420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RevOps function from one analyst to a team of six supporting 70 sales and CS reps.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33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Restructured commission plans twice; the 2019 plan lifted attainment from 58% of reps at quota to 71%.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  <w:tab w:pos="523" w:val="left" w:leader="none"/>
        </w:tabs>
        <w:spacing w:line="201" w:lineRule="auto" w:before="98" w:after="0"/>
        <w:ind w:left="523" w:right="62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 with the CFO on Series C diligence, owning the GTM section of the data room.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</w:tabs>
        <w:spacing w:line="334" w:lineRule="exact" w:before="43" w:after="0"/>
        <w:ind w:left="52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Designed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territory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absorbed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metros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adding</w:t>
      </w:r>
    </w:p>
    <w:p>
      <w:pPr>
        <w:pStyle w:val="BodyText"/>
        <w:spacing w:line="55" w:lineRule="exact"/>
        <w:ind w:left="523"/>
      </w:pPr>
      <w:r>
        <w:rPr/>
        <w:t>regional</w:t>
      </w:r>
      <w:r>
        <w:rPr>
          <w:spacing w:val="56"/>
        </w:rPr>
        <w:t> </w:t>
      </w:r>
      <w:r>
        <w:rPr>
          <w:spacing w:val="-4"/>
        </w:rPr>
        <w:t>VPs.</w:t>
      </w:r>
    </w:p>
    <w:p>
      <w:pPr>
        <w:pStyle w:val="BodyText"/>
        <w:spacing w:after="0" w:line="55" w:lineRule="exact"/>
        <w:sectPr>
          <w:type w:val="continuous"/>
          <w:pgSz w:w="11920" w:h="16860"/>
          <w:pgMar w:top="820" w:bottom="280" w:left="425" w:right="283"/>
          <w:cols w:num="2" w:equalWidth="0">
            <w:col w:w="2987" w:space="956"/>
            <w:col w:w="7269"/>
          </w:cols>
        </w:sectPr>
      </w:pP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24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Operating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model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design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FP&amp;A</w:t>
      </w:r>
      <w:r>
        <w:rPr>
          <w:color w:val="424242"/>
          <w:spacing w:val="1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276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spacing w:val="-2"/>
          <w:w w:val="105"/>
          <w:sz w:val="16"/>
        </w:rPr>
        <w:t>RevOps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6"/>
      </w:pPr>
    </w:p>
    <w:p>
      <w:pPr>
        <w:pStyle w:val="BodyText"/>
        <w:spacing w:line="230" w:lineRule="atLeast"/>
        <w:ind w:left="170" w:right="2016"/>
      </w:pPr>
      <w:r>
        <w:rPr>
          <w:w w:val="105"/>
        </w:rPr>
        <w:t>Senior Manager, FP&amp;A </w:t>
      </w:r>
      <w:r>
        <w:rPr>
          <w:w w:val="105"/>
          <w:position w:val="2"/>
        </w:rPr>
        <w:t>| </w:t>
      </w:r>
      <w:r>
        <w:rPr>
          <w:w w:val="105"/>
        </w:rPr>
        <w:t>Bellwether Foods,</w:t>
      </w:r>
      <w:r>
        <w:rPr>
          <w:spacing w:val="-3"/>
          <w:w w:val="105"/>
        </w:rPr>
        <w:t> </w:t>
      </w:r>
      <w:r>
        <w:rPr>
          <w:w w:val="105"/>
        </w:rPr>
        <w:t>Atlanta, GA August 2014 – July 2017</w:t>
      </w:r>
    </w:p>
    <w:p>
      <w:pPr>
        <w:pStyle w:val="BodyText"/>
        <w:spacing w:after="0" w:line="230" w:lineRule="atLeast"/>
        <w:sectPr>
          <w:type w:val="continuous"/>
          <w:pgSz w:w="11920" w:h="16860"/>
          <w:pgMar w:top="820" w:bottom="280" w:left="425" w:right="283"/>
          <w:cols w:num="2" w:equalWidth="0">
            <w:col w:w="2355" w:space="1476"/>
            <w:col w:w="7381"/>
          </w:cols>
        </w:sectPr>
      </w:pP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31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spacing w:val="-2"/>
          <w:w w:val="105"/>
          <w:sz w:val="16"/>
        </w:rPr>
        <w:t>Anaplan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8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spacing w:val="-2"/>
          <w:w w:val="105"/>
          <w:sz w:val="16"/>
        </w:rPr>
        <w:t>Salesforce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spacing w:val="-2"/>
          <w:w w:val="105"/>
          <w:sz w:val="16"/>
        </w:rPr>
        <w:t>NetSuite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Pricing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strategy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M&amp;A</w:t>
      </w:r>
      <w:r>
        <w:rPr>
          <w:color w:val="424242"/>
          <w:spacing w:val="-1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integration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Board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reporting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291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Team</w:t>
      </w:r>
      <w:r>
        <w:rPr>
          <w:color w:val="424242"/>
          <w:spacing w:val="9"/>
          <w:w w:val="105"/>
          <w:sz w:val="16"/>
        </w:rPr>
        <w:t> </w:t>
      </w:r>
      <w:r>
        <w:rPr>
          <w:color w:val="424242"/>
          <w:w w:val="105"/>
          <w:sz w:val="16"/>
        </w:rPr>
        <w:t>building</w:t>
      </w:r>
      <w:r>
        <w:rPr>
          <w:color w:val="424242"/>
          <w:spacing w:val="10"/>
          <w:w w:val="105"/>
          <w:sz w:val="16"/>
        </w:rPr>
        <w:t> </w:t>
      </w:r>
      <w:r>
        <w:rPr>
          <w:color w:val="424242"/>
          <w:w w:val="105"/>
          <w:sz w:val="16"/>
        </w:rPr>
        <w:t>(9+</w:t>
      </w:r>
      <w:r>
        <w:rPr>
          <w:color w:val="424242"/>
          <w:spacing w:val="10"/>
          <w:w w:val="105"/>
          <w:sz w:val="16"/>
        </w:rPr>
        <w:t> </w:t>
      </w:r>
      <w:r>
        <w:rPr>
          <w:color w:val="424242"/>
          <w:w w:val="105"/>
          <w:sz w:val="16"/>
        </w:rPr>
        <w:t>direct</w:t>
      </w:r>
      <w:r>
        <w:rPr>
          <w:color w:val="424242"/>
          <w:spacing w:val="10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reports)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43" w:lineRule="exact" w:before="120" w:after="0"/>
        <w:ind w:left="46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Owned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5-year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$90M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frozen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foods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division.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23" w:lineRule="exact" w:before="0" w:after="0"/>
        <w:ind w:left="4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Stood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flash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report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covenant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scare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Q4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2015.</w:t>
      </w:r>
    </w:p>
    <w:p>
      <w:pPr>
        <w:pStyle w:val="ListParagraph"/>
        <w:numPr>
          <w:ilvl w:val="1"/>
          <w:numId w:val="1"/>
        </w:numPr>
        <w:tabs>
          <w:tab w:pos="465" w:val="left" w:leader="none"/>
          <w:tab w:pos="467" w:val="left" w:leader="none"/>
        </w:tabs>
        <w:spacing w:line="201" w:lineRule="auto" w:before="18" w:after="0"/>
        <w:ind w:left="467" w:right="265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two analysts and the relationship with the Big Four audit team for division-level reviews.</w:t>
      </w:r>
    </w:p>
    <w:p>
      <w:pPr>
        <w:pStyle w:val="ListParagraph"/>
        <w:numPr>
          <w:ilvl w:val="1"/>
          <w:numId w:val="1"/>
        </w:numPr>
        <w:tabs>
          <w:tab w:pos="465" w:val="left" w:leader="none"/>
          <w:tab w:pos="467" w:val="left" w:leader="none"/>
        </w:tabs>
        <w:spacing w:line="189" w:lineRule="auto" w:before="109" w:after="0"/>
        <w:ind w:left="467" w:right="89" w:hanging="298"/>
        <w:jc w:val="left"/>
        <w:rPr>
          <w:position w:val="-4"/>
          <w:sz w:val="31"/>
        </w:rPr>
      </w:pPr>
      <w:r>
        <w:rPr>
          <w:w w:val="105"/>
          <w:sz w:val="18"/>
        </w:rPr>
        <w:t>Modeled the closure of a co-pack facility, including severance scenarios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contract penalties.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283"/>
          <w:cols w:num="2" w:equalWidth="0">
            <w:col w:w="3019" w:space="979"/>
            <w:col w:w="7214"/>
          </w:cols>
        </w:sectPr>
      </w:pP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24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Commission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plan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design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276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Cross-functional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leadership</w:t>
      </w:r>
    </w:p>
    <w:p>
      <w:pPr>
        <w:pStyle w:val="BodyText"/>
        <w:spacing w:line="268" w:lineRule="auto" w:before="61"/>
        <w:ind w:left="170" w:right="3295"/>
      </w:pPr>
      <w:r>
        <w:rPr/>
        <w:br w:type="column"/>
      </w:r>
      <w:r>
        <w:rPr>
          <w:w w:val="105"/>
        </w:rPr>
        <w:t>FP&amp;A</w:t>
      </w:r>
      <w:r>
        <w:rPr>
          <w:spacing w:val="-13"/>
          <w:w w:val="105"/>
        </w:rPr>
        <w:t> </w:t>
      </w:r>
      <w:r>
        <w:rPr>
          <w:w w:val="105"/>
        </w:rPr>
        <w:t>Analyst </w:t>
      </w:r>
      <w:r>
        <w:rPr>
          <w:w w:val="105"/>
          <w:position w:val="2"/>
        </w:rPr>
        <w:t>| </w:t>
      </w:r>
      <w:r>
        <w:rPr>
          <w:w w:val="105"/>
        </w:rPr>
        <w:t>Bellwether Foods,</w:t>
      </w:r>
      <w:r>
        <w:rPr>
          <w:spacing w:val="-3"/>
          <w:w w:val="105"/>
        </w:rPr>
        <w:t> </w:t>
      </w:r>
      <w:r>
        <w:rPr>
          <w:w w:val="105"/>
        </w:rPr>
        <w:t>Atlanta, GA January 2011 – August 2014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283"/>
          <w:cols w:num="2" w:equalWidth="0">
            <w:col w:w="2623" w:space="1209"/>
            <w:col w:w="7380"/>
          </w:cols>
        </w:sectPr>
      </w:pPr>
    </w:p>
    <w:p>
      <w:pPr>
        <w:pStyle w:val="ListParagraph"/>
        <w:numPr>
          <w:ilvl w:val="2"/>
          <w:numId w:val="1"/>
        </w:numPr>
        <w:tabs>
          <w:tab w:pos="4464" w:val="left" w:leader="none"/>
          <w:tab w:pos="4466" w:val="left" w:leader="none"/>
        </w:tabs>
        <w:spacing w:line="201" w:lineRule="auto" w:before="39" w:after="0"/>
        <w:ind w:left="4466" w:right="86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1924" y="10372723"/>
                            <a:ext cx="22669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333375">
                                <a:moveTo>
                                  <a:pt x="0" y="333374"/>
                                </a:moveTo>
                                <a:lnTo>
                                  <a:pt x="2266949" y="333374"/>
                                </a:lnTo>
                                <a:lnTo>
                                  <a:pt x="2266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875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4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43125">
                                <a:moveTo>
                                  <a:pt x="7568183" y="2143124"/>
                                </a:moveTo>
                                <a:lnTo>
                                  <a:pt x="0" y="21431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43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1912" y="2143124"/>
                            <a:ext cx="2266950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8229600">
                                <a:moveTo>
                                  <a:pt x="2266950" y="4448175"/>
                                </a:moveTo>
                                <a:lnTo>
                                  <a:pt x="0" y="4448175"/>
                                </a:lnTo>
                                <a:lnTo>
                                  <a:pt x="0" y="8229600"/>
                                </a:lnTo>
                                <a:lnTo>
                                  <a:pt x="2266950" y="8229600"/>
                                </a:lnTo>
                                <a:lnTo>
                                  <a:pt x="2266950" y="4448175"/>
                                </a:lnTo>
                                <a:close/>
                              </a:path>
                              <a:path w="2266950" h="8229600">
                                <a:moveTo>
                                  <a:pt x="2266950" y="2647950"/>
                                </a:moveTo>
                                <a:lnTo>
                                  <a:pt x="0" y="2647950"/>
                                </a:lnTo>
                                <a:lnTo>
                                  <a:pt x="0" y="4076700"/>
                                </a:lnTo>
                                <a:lnTo>
                                  <a:pt x="2266950" y="4076700"/>
                                </a:lnTo>
                                <a:lnTo>
                                  <a:pt x="2266950" y="2647950"/>
                                </a:lnTo>
                                <a:close/>
                              </a:path>
                              <a:path w="2266950" h="8229600">
                                <a:moveTo>
                                  <a:pt x="2266950" y="781050"/>
                                </a:moveTo>
                                <a:lnTo>
                                  <a:pt x="0" y="781050"/>
                                </a:lnTo>
                                <a:lnTo>
                                  <a:pt x="0" y="2276475"/>
                                </a:lnTo>
                                <a:lnTo>
                                  <a:pt x="2266950" y="2276475"/>
                                </a:lnTo>
                                <a:lnTo>
                                  <a:pt x="2266950" y="781050"/>
                                </a:lnTo>
                                <a:close/>
                              </a:path>
                              <a:path w="2266950" h="8229600">
                                <a:moveTo>
                                  <a:pt x="226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575"/>
                                </a:lnTo>
                                <a:lnTo>
                                  <a:pt x="2266950" y="409575"/>
                                </a:lnTo>
                                <a:lnTo>
                                  <a:pt x="226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875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5526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8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2919983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1" y="304799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33718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4" y="3743571"/>
                            <a:ext cx="16200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40671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44195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8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47884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6219824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8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6586727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5200" id="docshapegroup1" coordorigin="0,0" coordsize="11919,16860">
                <v:rect style="position:absolute;left:255;top:16335;width:3570;height:525" id="docshape2" filled="true" fillcolor="#a88759" stroked="false">
                  <v:fill opacity="32899f" type="solid"/>
                </v:rect>
                <v:rect style="position:absolute;left:0;top:0;width:11919;height:3375" id="docshape3" filled="true" fillcolor="#424242" stroked="false">
                  <v:fill type="solid"/>
                </v:rect>
                <v:shape style="position:absolute;left:254;top:3375;width:3570;height:12960" id="docshape4" coordorigin="255,3375" coordsize="3570,12960" path="m3825,10380l255,10380,255,16335,3825,16335,3825,10380xm3825,7545l255,7545,255,9795,3825,9795,3825,7545xm3825,4605l255,4605,255,6960,3825,6960,3825,4605xm3825,3375l255,3375,255,4020,3825,4020,3825,3375xe" filled="true" fillcolor="#a88759" stroked="false">
                  <v:path arrowok="t"/>
                  <v:fill opacity="32899f" type="solid"/>
                </v:shape>
                <v:rect style="position:absolute;left:0;top:4020;width:4020;height:585" id="docshape5" filled="true" fillcolor="#a88759" stroked="false">
                  <v:fill type="solid"/>
                </v:rect>
                <v:shape style="position:absolute;left:3825;top:4598;width:197;height:404" type="#_x0000_t75" id="docshape6" stroked="false">
                  <v:imagedata r:id="rId6" o:title=""/>
                </v:shape>
                <v:shape style="position:absolute;left:600;top:4800;width:255;height:261" type="#_x0000_t75" id="docshape7" stroked="false">
                  <v:imagedata r:id="rId7" o:title=""/>
                </v:shape>
                <v:shape style="position:absolute;left:600;top:5310;width:255;height:300" type="#_x0000_t75" id="docshape8" stroked="false">
                  <v:imagedata r:id="rId8" o:title=""/>
                </v:shape>
                <v:shape style="position:absolute;left:600;top:5895;width:256;height:226" type="#_x0000_t75" id="docshape9" stroked="false">
                  <v:imagedata r:id="rId9" o:title=""/>
                </v:shape>
                <v:shape style="position:absolute;left:600;top:6405;width:255;height:255" type="#_x0000_t75" id="docshape10" stroked="false">
                  <v:imagedata r:id="rId10" o:title=""/>
                </v:shape>
                <v:rect style="position:absolute;left:0;top:6960;width:4020;height:585" id="docshape11" filled="true" fillcolor="#a88759" stroked="false">
                  <v:fill type="solid"/>
                </v:rect>
                <v:shape style="position:absolute;left:3825;top:7540;width:197;height:399" type="#_x0000_t75" id="docshape12" stroked="false">
                  <v:imagedata r:id="rId11" o:title=""/>
                </v:shape>
                <v:rect style="position:absolute;left:0;top:9795;width:4020;height:585" id="docshape13" filled="true" fillcolor="#a88759" stroked="false">
                  <v:fill type="solid"/>
                </v:rect>
                <v:shape style="position:absolute;left:3825;top:10372;width:197;height:404" type="#_x0000_t75" id="docshape14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Supported the foodservice segment with weekly volume and margin </w:t>
      </w:r>
      <w:r>
        <w:rPr>
          <w:spacing w:val="-2"/>
          <w:w w:val="105"/>
          <w:sz w:val="18"/>
        </w:rPr>
        <w:t>reporting.</w:t>
      </w:r>
    </w:p>
    <w:p>
      <w:pPr>
        <w:pStyle w:val="ListParagraph"/>
        <w:numPr>
          <w:ilvl w:val="2"/>
          <w:numId w:val="1"/>
        </w:numPr>
        <w:tabs>
          <w:tab w:pos="4464" w:val="left" w:leader="none"/>
        </w:tabs>
        <w:spacing w:line="336" w:lineRule="exact" w:before="58" w:after="0"/>
        <w:ind w:left="4464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brand-level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P&amp;L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template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still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finance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team.</w:t>
      </w:r>
    </w:p>
    <w:p>
      <w:pPr>
        <w:pStyle w:val="ListParagraph"/>
        <w:numPr>
          <w:ilvl w:val="2"/>
          <w:numId w:val="1"/>
        </w:numPr>
        <w:tabs>
          <w:tab w:pos="4464" w:val="left" w:leader="none"/>
        </w:tabs>
        <w:spacing w:line="322" w:lineRule="exact" w:before="0" w:after="0"/>
        <w:ind w:left="4464" w:right="0" w:hanging="296"/>
        <w:jc w:val="left"/>
        <w:rPr>
          <w:sz w:val="18"/>
        </w:rPr>
      </w:pPr>
      <w:r>
        <w:rPr>
          <w:w w:val="105"/>
          <w:sz w:val="18"/>
        </w:rPr>
        <w:t>Promoted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twice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years.</w:t>
      </w:r>
    </w:p>
    <w:p>
      <w:pPr>
        <w:pStyle w:val="ListParagraph"/>
        <w:numPr>
          <w:ilvl w:val="2"/>
          <w:numId w:val="1"/>
        </w:numPr>
        <w:tabs>
          <w:tab w:pos="4464" w:val="left" w:leader="none"/>
        </w:tabs>
        <w:spacing w:line="343" w:lineRule="exact" w:before="0" w:after="0"/>
        <w:ind w:left="4464" w:right="0" w:hanging="296"/>
        <w:jc w:val="left"/>
        <w:rPr>
          <w:sz w:val="18"/>
        </w:rPr>
      </w:pPr>
      <w:r>
        <w:rPr>
          <w:w w:val="105"/>
          <w:sz w:val="18"/>
        </w:rPr>
        <w:t>Rotated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6-month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assignment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audit.</w:t>
      </w:r>
    </w:p>
    <w:p>
      <w:pPr>
        <w:pStyle w:val="ListParagraph"/>
        <w:spacing w:after="0" w:line="343" w:lineRule="exact"/>
        <w:jc w:val="left"/>
        <w:rPr>
          <w:sz w:val="18"/>
        </w:rPr>
        <w:sectPr>
          <w:type w:val="continuous"/>
          <w:pgSz w:w="11920" w:h="16860"/>
          <w:pgMar w:top="820" w:bottom="280" w:left="425" w:right="283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161924</wp:posOffset>
                </wp:positionH>
                <wp:positionV relativeFrom="page">
                  <wp:posOffset>0</wp:posOffset>
                </wp:positionV>
                <wp:extent cx="2266950" cy="107061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2669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0" h="10706100">
                              <a:moveTo>
                                <a:pt x="22669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266949" y="0"/>
                              </a:lnTo>
                              <a:lnTo>
                                <a:pt x="22669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8759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.749999pt;margin-top:.000005pt;width:178.499986pt;height:842.999933pt;mso-position-horizontal-relative:page;mso-position-vertical-relative:page;z-index:15729152" id="docshape15" filled="true" fillcolor="#a88759" stroked="false">
                <v:fill opacity="32899f" type="solid"/>
                <w10:wrap type="none"/>
              </v:rect>
            </w:pict>
          </mc:Fallback>
        </mc:AlternateContent>
      </w:r>
    </w:p>
    <w:sectPr>
      <w:pgSz w:w="11920" w:h="16860"/>
      <w:pgMar w:top="0" w:bottom="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6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9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0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3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6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2026-06-17T15:43:19Z</dcterms:created>
  <dcterms:modified xsi:type="dcterms:W3CDTF">2026-06-17T15:43:19Z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2026-06-17T00:00:00Z</vt:filetime>
  </property>
  <property fmtid="{D5CDD505-2E9C-101B-9397-08002B2CF9AE}" pid="5" name="Producer">
    <vt:lpwstr>pdf-merger-js</vt:lpwstr>
  </property>
</Properties>
</file>