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4035" w:right="0" w:firstLine="0"/>
        <w:jc w:val="center"/>
        <w:rPr>
          <w:sz w:val="83"/>
        </w:rPr>
      </w:pPr>
      <w:r>
        <w:rPr>
          <w:color w:val="A26E00"/>
          <w:sz w:val="83"/>
        </w:rPr>
        <w:t>Dorothy</w:t>
      </w:r>
      <w:r>
        <w:rPr>
          <w:color w:val="A26E00"/>
          <w:spacing w:val="-4"/>
          <w:sz w:val="83"/>
        </w:rPr>
        <w:t> </w:t>
      </w:r>
      <w:r>
        <w:rPr>
          <w:color w:val="646464"/>
          <w:spacing w:val="-2"/>
          <w:sz w:val="83"/>
        </w:rPr>
        <w:t>Martinez</w:t>
      </w:r>
    </w:p>
    <w:p>
      <w:pPr>
        <w:spacing w:before="161"/>
        <w:ind w:left="4035" w:right="0" w:firstLine="0"/>
        <w:jc w:val="center"/>
        <w:rPr>
          <w:sz w:val="20"/>
        </w:rPr>
      </w:pPr>
      <w:r>
        <w:rPr>
          <w:color w:val="A26E00"/>
          <w:sz w:val="20"/>
        </w:rPr>
        <w:t>Pediatric</w:t>
      </w:r>
      <w:r>
        <w:rPr>
          <w:color w:val="A26E00"/>
          <w:spacing w:val="8"/>
          <w:sz w:val="20"/>
        </w:rPr>
        <w:t> </w:t>
      </w:r>
      <w:r>
        <w:rPr>
          <w:color w:val="A26E00"/>
          <w:spacing w:val="-2"/>
          <w:sz w:val="20"/>
        </w:rPr>
        <w:t>Nurse</w:t>
      </w:r>
    </w:p>
    <w:p>
      <w:pPr>
        <w:pStyle w:val="BodyText"/>
        <w:spacing w:before="125"/>
        <w:ind w:left="0" w:firstLine="0"/>
        <w:rPr>
          <w:sz w:val="20"/>
        </w:rPr>
      </w:pPr>
    </w:p>
    <w:p>
      <w:pPr>
        <w:spacing w:line="290" w:lineRule="auto" w:before="0"/>
        <w:ind w:left="3972" w:right="82" w:hanging="58"/>
        <w:jc w:val="both"/>
        <w:rPr>
          <w:sz w:val="20"/>
        </w:rPr>
      </w:pPr>
      <w:r>
        <w:rPr>
          <w:color w:val="FFFFFF"/>
          <w:sz w:val="20"/>
        </w:rPr>
        <w:t>Pediatric staff RN with 4 years on an inpatient general pediatrics unit and 1 year of pediatric oncology cross-training. CPN certiﬁed with chemo/bio competency. Regular preceptor and informal resource nurse for IV access on the day shift.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7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169"/>
        <w:ind w:left="0" w:firstLine="0"/>
        <w:rPr>
          <w:sz w:val="24"/>
        </w:rPr>
      </w:pPr>
    </w:p>
    <w:p>
      <w:pPr>
        <w:pStyle w:val="Heading1"/>
        <w:spacing w:line="261" w:lineRule="auto"/>
        <w:ind w:right="38"/>
      </w:pPr>
      <w:r>
        <w:rPr>
          <w:color w:val="A26E00"/>
          <w:spacing w:val="-2"/>
        </w:rPr>
        <w:t>CONTACT INFORMATION</w:t>
      </w:r>
    </w:p>
    <w:p>
      <w:pPr>
        <w:spacing w:before="61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color w:val="A26E00"/>
          <w:spacing w:val="-2"/>
          <w:sz w:val="24"/>
        </w:rPr>
        <w:t>PROFESSIONAL</w:t>
      </w:r>
      <w:r>
        <w:rPr>
          <w:color w:val="A26E00"/>
          <w:spacing w:val="4"/>
          <w:sz w:val="24"/>
        </w:rPr>
        <w:t> </w:t>
      </w:r>
      <w:r>
        <w:rPr>
          <w:color w:val="A26E00"/>
          <w:spacing w:val="-2"/>
          <w:sz w:val="24"/>
        </w:rPr>
        <w:t>EXPERIENCE</w:t>
      </w:r>
    </w:p>
    <w:p>
      <w:pPr>
        <w:spacing w:line="266" w:lineRule="auto" w:before="166"/>
        <w:ind w:left="108" w:right="117" w:firstLine="0"/>
        <w:jc w:val="left"/>
        <w:rPr>
          <w:sz w:val="20"/>
        </w:rPr>
      </w:pPr>
      <w:r>
        <w:rPr>
          <w:sz w:val="20"/>
        </w:rPr>
        <w:t>Pediatric Staff RN, Hematology / Oncology </w:t>
      </w:r>
      <w:r>
        <w:rPr>
          <w:color w:val="134E5C"/>
          <w:sz w:val="20"/>
        </w:rPr>
        <w:t>| Green Mountain Pediatric Hospital, Burlington, VT</w:t>
      </w:r>
    </w:p>
    <w:p>
      <w:pPr>
        <w:pStyle w:val="BodyText"/>
        <w:spacing w:before="4"/>
        <w:ind w:left="108" w:firstLine="0"/>
      </w:pPr>
      <w:r>
        <w:rPr>
          <w:color w:val="134E5C"/>
          <w:w w:val="105"/>
        </w:rPr>
        <w:t>2022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425"/>
          <w:cols w:num="2" w:equalWidth="0">
            <w:col w:w="1823" w:space="2195"/>
            <w:col w:w="7194"/>
          </w:cols>
        </w:sectPr>
      </w:pPr>
    </w:p>
    <w:p>
      <w:pPr>
        <w:spacing w:before="201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(802)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0167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devon.ashworth@exa mple.com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Burlington,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VT</w:t>
      </w:r>
      <w:r>
        <w:rPr>
          <w:color w:val="134E5C"/>
          <w:spacing w:val="4"/>
          <w:sz w:val="20"/>
        </w:rPr>
        <w:t> </w:t>
      </w:r>
      <w:r>
        <w:rPr>
          <w:color w:val="134E5C"/>
          <w:spacing w:val="-2"/>
          <w:sz w:val="20"/>
        </w:rPr>
        <w:t>12345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58"/>
        <w:ind w:left="0" w:firstLine="0"/>
        <w:rPr>
          <w:sz w:val="20"/>
        </w:rPr>
      </w:pPr>
    </w:p>
    <w:p>
      <w:pPr>
        <w:pStyle w:val="Heading1"/>
      </w:pPr>
      <w:r>
        <w:rPr>
          <w:color w:val="A26E00"/>
        </w:rPr>
        <w:t>KEY</w:t>
      </w:r>
      <w:r>
        <w:rPr>
          <w:color w:val="A26E00"/>
          <w:spacing w:val="-6"/>
        </w:rPr>
        <w:t> </w:t>
      </w:r>
      <w:r>
        <w:rPr>
          <w:color w:val="A26E0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215" w:after="0"/>
        <w:ind w:left="591" w:right="200" w:hanging="298"/>
        <w:jc w:val="left"/>
        <w:rPr>
          <w:sz w:val="18"/>
        </w:rPr>
      </w:pPr>
      <w:r>
        <w:rPr>
          <w:color w:val="134E5C"/>
          <w:w w:val="105"/>
          <w:sz w:val="18"/>
        </w:rPr>
        <w:t>Pediatric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chemotherapy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biotherapy administration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sz w:val="18"/>
        </w:rPr>
        <w:t>Blood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product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transfusion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 reaction management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40" w:after="0"/>
        <w:ind w:left="759" w:right="368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Manage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3-4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patient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assignments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including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chemotherapy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administration, blood product transfusions, and post-op neuroblastoma cases.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74" w:after="0"/>
        <w:ind w:left="759" w:right="27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Maintained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zero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medication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administration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errors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18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months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chemo competency audits.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90" w:after="0"/>
        <w:ind w:left="759" w:right="64" w:hanging="298"/>
        <w:jc w:val="left"/>
        <w:rPr>
          <w:sz w:val="18"/>
        </w:rPr>
      </w:pPr>
      <w:r>
        <w:rPr>
          <w:color w:val="134E5C"/>
          <w:w w:val="105"/>
          <w:sz w:val="18"/>
        </w:rPr>
        <w:t>Serve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unit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IV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resource: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average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ﬁrst-stick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success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rate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86%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patients with difﬁcult access in the last quarter audit.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04" w:after="0"/>
        <w:ind w:left="759" w:right="260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Coach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families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new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port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placement,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neutropenic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precautions,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 home G-tube feedings before discharge.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80" w:after="0"/>
        <w:ind w:left="759" w:right="114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Co-led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conversion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to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new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smart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pump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library;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trained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22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day-shift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RNs </w:t>
      </w:r>
      <w:r>
        <w:rPr>
          <w:color w:val="134E5C"/>
          <w:w w:val="105"/>
          <w:sz w:val="18"/>
        </w:rPr>
        <w:t>and CNAs.</w:t>
      </w:r>
    </w:p>
    <w:p>
      <w:pPr>
        <w:spacing w:line="266" w:lineRule="auto" w:before="130"/>
        <w:ind w:left="108" w:right="0" w:firstLine="0"/>
        <w:jc w:val="left"/>
        <w:rPr>
          <w:sz w:val="20"/>
        </w:rPr>
      </w:pPr>
      <w:r>
        <w:rPr>
          <w:sz w:val="20"/>
        </w:rPr>
        <w:t>Pediatric Staff RN, General Peds </w:t>
      </w:r>
      <w:r>
        <w:rPr>
          <w:color w:val="134E5C"/>
          <w:sz w:val="20"/>
        </w:rPr>
        <w:t>| Lakeside Community Hospital, South Burlington, VT</w:t>
      </w:r>
    </w:p>
    <w:p>
      <w:pPr>
        <w:pStyle w:val="BodyText"/>
        <w:spacing w:before="18"/>
        <w:ind w:left="108" w:firstLine="0"/>
      </w:pPr>
      <w:r>
        <w:rPr>
          <w:color w:val="134E5C"/>
          <w:w w:val="105"/>
        </w:rPr>
        <w:t>2020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425"/>
          <w:cols w:num="2" w:equalWidth="0">
            <w:col w:w="3150" w:space="868"/>
            <w:col w:w="7194"/>
          </w:cols>
        </w:sect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80" w:after="0"/>
        <w:ind w:left="591" w:right="24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Central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line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port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access </w:t>
      </w:r>
      <w:r>
        <w:rPr>
          <w:color w:val="134E5C"/>
          <w:w w:val="105"/>
          <w:sz w:val="18"/>
        </w:rPr>
        <w:t>(Mediport, Broviac, PICC)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Difﬁcult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IV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access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pediatrics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23" w:after="0"/>
        <w:ind w:left="591" w:right="175" w:hanging="298"/>
        <w:jc w:val="left"/>
        <w:rPr>
          <w:sz w:val="18"/>
        </w:rPr>
      </w:pPr>
      <w:r>
        <w:rPr>
          <w:color w:val="134E5C"/>
          <w:w w:val="105"/>
          <w:sz w:val="18"/>
        </w:rPr>
        <w:t>Neutropenic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precautions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isolation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3" w:after="0"/>
        <w:ind w:left="591" w:right="165" w:hanging="298"/>
        <w:jc w:val="left"/>
        <w:rPr>
          <w:sz w:val="18"/>
        </w:rPr>
      </w:pPr>
      <w:r>
        <w:rPr>
          <w:color w:val="134E5C"/>
          <w:w w:val="105"/>
          <w:sz w:val="18"/>
        </w:rPr>
        <w:t>Family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teaching: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G-tube,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port care, home antibiotics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tLeast" w:before="5" w:after="0"/>
        <w:ind w:left="591" w:right="86" w:hanging="298"/>
        <w:jc w:val="left"/>
        <w:rPr>
          <w:sz w:val="18"/>
        </w:rPr>
      </w:pPr>
      <w:r>
        <w:rPr>
          <w:color w:val="134E5C"/>
          <w:w w:val="105"/>
          <w:sz w:val="18"/>
        </w:rPr>
        <w:t>Epic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EHR,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Omnicell,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BD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Alaris </w:t>
      </w:r>
      <w:r>
        <w:rPr>
          <w:color w:val="134E5C"/>
          <w:spacing w:val="-2"/>
          <w:w w:val="105"/>
          <w:sz w:val="18"/>
        </w:rPr>
        <w:t>pumps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05" w:after="0"/>
        <w:ind w:left="591" w:right="92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Cared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4-5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patients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per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shift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22-bed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general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pediatrics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unit;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common diagnoses included RSV, croup, DKA, and failure to thrive.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305" w:hanging="298"/>
        <w:jc w:val="left"/>
        <w:rPr>
          <w:sz w:val="18"/>
        </w:rPr>
      </w:pPr>
      <w:r>
        <w:rPr>
          <w:color w:val="134E5C"/>
          <w:w w:val="105"/>
          <w:sz w:val="18"/>
        </w:rPr>
        <w:t>Precepted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6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new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grad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RNs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12-week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orientations;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5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are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still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the </w:t>
      </w:r>
      <w:r>
        <w:rPr>
          <w:color w:val="134E5C"/>
          <w:spacing w:val="-2"/>
          <w:w w:val="105"/>
          <w:sz w:val="18"/>
        </w:rPr>
        <w:t>unit.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79" w:after="0"/>
        <w:ind w:left="591" w:right="79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Sat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on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unit's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family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advisory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workgroup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rewrote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bedside </w:t>
      </w:r>
      <w:r>
        <w:rPr>
          <w:color w:val="134E5C"/>
          <w:w w:val="105"/>
          <w:sz w:val="18"/>
        </w:rPr>
        <w:t>whiteboard template based on parent feedback.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04" w:after="0"/>
        <w:ind w:left="591" w:right="168" w:hanging="298"/>
        <w:jc w:val="left"/>
        <w:rPr>
          <w:sz w:val="18"/>
        </w:rPr>
      </w:pPr>
      <w:r>
        <w:rPr>
          <w:color w:val="134E5C"/>
          <w:w w:val="105"/>
          <w:sz w:val="18"/>
        </w:rPr>
        <w:t>Floated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well-baby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nursery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roughly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once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month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maintain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newborn assessment skills.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3191" w:space="994"/>
            <w:col w:w="7027"/>
          </w:cols>
        </w:sect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60" w:after="0"/>
        <w:ind w:left="591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257425"/>
                                </a:moveTo>
                                <a:lnTo>
                                  <a:pt x="0" y="22574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2574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091684" y="14478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897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972550">
                                <a:moveTo>
                                  <a:pt x="2466974" y="8972549"/>
                                </a:moveTo>
                                <a:lnTo>
                                  <a:pt x="0" y="89725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972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62174" y="1447800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62174" y="22574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696" id="docshapegroup1" coordorigin="0,0" coordsize="11919,16858">
                <v:shape style="position:absolute;left:3899;top:0;width:8019;height:16858" id="docshape2" coordorigin="3900,0" coordsize="8019,16858" path="m11918,3555l3900,3555,3900,16858,11918,16858,11918,3555xm11918,0l3900,0,3900,2280,11918,2280,11918,0xe" filled="true" fillcolor="#f5f5f5" stroked="false">
                  <v:path arrowok="t"/>
                  <v:fill type="solid"/>
                </v:shape>
                <v:rect style="position:absolute;left:0;top:0;width:3885;height:14130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325;width:317;height:317" type="#_x0000_t75" id="docshape5" stroked="false">
                  <v:imagedata r:id="rId6" o:title=""/>
                </v:shape>
                <v:shape style="position:absolute;left:605;top:5865;width:275;height:317" type="#_x0000_t75" id="docshape6" stroked="false">
                  <v:imagedata r:id="rId7" o:title=""/>
                </v:shape>
                <v:shape style="position:absolute;left:585;top:6411;width:317;height:274" type="#_x0000_t75" id="docshape7" stroked="false">
                  <v:imagedata r:id="rId8" o:title=""/>
                </v:shape>
                <v:rect style="position:absolute;left:3405;top:2280;width:8514;height:1275" id="docshape8" filled="true" fillcolor="#a26e00" stroked="false">
                  <v:fill type="solid"/>
                </v:rect>
                <v:shape style="position:absolute;left:3405;top:3555;width:480;height:600" id="docshape9" coordorigin="3405,3555" coordsize="480,600" path="m3885,4155l3405,3555,3885,3555,3885,415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sz w:val="18"/>
        </w:rPr>
        <w:t>Preceptor,</w:t>
      </w:r>
      <w:r>
        <w:rPr>
          <w:color w:val="134E5C"/>
          <w:spacing w:val="-1"/>
          <w:sz w:val="18"/>
        </w:rPr>
        <w:t> </w:t>
      </w:r>
      <w:r>
        <w:rPr>
          <w:color w:val="134E5C"/>
          <w:spacing w:val="-2"/>
          <w:sz w:val="18"/>
        </w:rPr>
        <w:t>NRP,</w:t>
      </w:r>
      <w:r>
        <w:rPr>
          <w:color w:val="134E5C"/>
          <w:sz w:val="18"/>
        </w:rPr>
        <w:t> </w:t>
      </w:r>
      <w:r>
        <w:rPr>
          <w:color w:val="134E5C"/>
          <w:spacing w:val="-4"/>
          <w:sz w:val="18"/>
        </w:rPr>
        <w:t>PALS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13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Sepsis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screening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rapid </w:t>
      </w:r>
      <w:r>
        <w:rPr>
          <w:color w:val="134E5C"/>
          <w:spacing w:val="-2"/>
          <w:w w:val="105"/>
          <w:sz w:val="18"/>
        </w:rPr>
        <w:t>response</w:t>
      </w:r>
    </w:p>
    <w:p>
      <w:pPr>
        <w:pStyle w:val="Heading1"/>
        <w:spacing w:line="200" w:lineRule="exact"/>
        <w:ind w:left="294"/>
      </w:pPr>
      <w:r>
        <w:rPr/>
        <w:br w:type="column"/>
      </w:r>
      <w:r>
        <w:rPr>
          <w:color w:val="A26E00"/>
          <w:spacing w:val="-2"/>
        </w:rPr>
        <w:t>EDUCATION</w:t>
      </w:r>
    </w:p>
    <w:p>
      <w:pPr>
        <w:spacing w:before="166"/>
        <w:ind w:left="294" w:right="0" w:firstLine="0"/>
        <w:jc w:val="left"/>
        <w:rPr>
          <w:sz w:val="20"/>
        </w:rPr>
      </w:pPr>
      <w:r>
        <w:rPr>
          <w:sz w:val="20"/>
        </w:rPr>
        <w:t>BSN,</w:t>
      </w:r>
      <w:r>
        <w:rPr>
          <w:spacing w:val="4"/>
          <w:sz w:val="20"/>
        </w:rPr>
        <w:t> </w:t>
      </w:r>
      <w:r>
        <w:rPr>
          <w:sz w:val="20"/>
        </w:rPr>
        <w:t>University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Vermont,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2020</w:t>
      </w:r>
    </w:p>
    <w:p>
      <w:pPr>
        <w:spacing w:line="408" w:lineRule="auto" w:before="160"/>
        <w:ind w:left="294" w:right="2882" w:firstLine="0"/>
        <w:jc w:val="left"/>
        <w:rPr>
          <w:sz w:val="20"/>
        </w:rPr>
      </w:pPr>
      <w:r>
        <w:rPr>
          <w:sz w:val="20"/>
        </w:rPr>
        <w:t>RN License, Vermont (compact), active Certiﬁed Pediatric Nurse (CPN), 2023</w:t>
      </w:r>
    </w:p>
    <w:p>
      <w:pPr>
        <w:spacing w:line="391" w:lineRule="auto" w:before="0"/>
        <w:ind w:left="294" w:right="1649" w:firstLine="0"/>
        <w:jc w:val="left"/>
        <w:rPr>
          <w:sz w:val="20"/>
        </w:rPr>
      </w:pPr>
      <w:r>
        <w:rPr>
          <w:sz w:val="20"/>
        </w:rPr>
        <w:t>Chemotherapy and Biotherapy Provider,</w:t>
      </w:r>
      <w:r>
        <w:rPr>
          <w:spacing w:val="-2"/>
          <w:sz w:val="20"/>
        </w:rPr>
        <w:t> </w:t>
      </w:r>
      <w:r>
        <w:rPr>
          <w:sz w:val="20"/>
        </w:rPr>
        <w:t>APHON, 2023 PALS, BLS, current</w:t>
      </w:r>
    </w:p>
    <w:sectPr>
      <w:type w:val="continuous"/>
      <w:pgSz w:w="11920" w:h="16860"/>
      <w:pgMar w:top="780" w:bottom="280" w:left="283" w:right="425"/>
      <w:cols w:num="2" w:equalWidth="0">
        <w:col w:w="2922" w:space="910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2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0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2026-06-23T16:12:39Z</dcterms:created>
  <dcterms:modified xsi:type="dcterms:W3CDTF">2026-06-23T16:12:39Z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