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2"/>
        <w:rPr>
          <w:rFonts w:ascii="Times New Roman"/>
          <w:sz w:val="7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-654385</wp:posOffset>
                </wp:positionV>
                <wp:extent cx="2571750" cy="24955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71750" cy="2495550"/>
                          <a:chExt cx="2571750" cy="2495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F7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571750" cy="249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59"/>
                                </w:rPr>
                              </w:pPr>
                            </w:p>
                            <w:p>
                              <w:pPr>
                                <w:spacing w:line="240" w:lineRule="auto" w:before="279"/>
                                <w:rPr>
                                  <w:sz w:val="5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" w:right="0" w:firstLine="0"/>
                                <w:jc w:val="center"/>
                                <w:rPr>
                                  <w:b/>
                                  <w:sz w:val="5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59"/>
                                </w:rPr>
                                <w:t>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51.526386pt;width:202.5pt;height:196.5pt;mso-position-horizontal-relative:page;mso-position-vertical-relative:paragraph;z-index:15731200" id="docshapegroup1" coordorigin="0,-1031" coordsize="4050,3930">
                <v:shape style="position:absolute;left:0;top:-1031;width:4050;height:3930" id="docshape2" coordorigin="0,-1031" coordsize="4050,3930" path="m0,2899l0,-1031,4050,-1031,0,2899xe" filled="true" fillcolor="#ffffff" stroked="false">
                  <v:path arrowok="t"/>
                  <v:fill type="solid"/>
                </v:shape>
                <v:shape style="position:absolute;left:0;top:-1031;width:4050;height:3930" id="docshape3" coordorigin="0,-1031" coordsize="4050,3930" path="m0,2899l0,-1031,4050,-1031,0,2899xe" filled="true" fillcolor="#7e8f7c" stroked="false">
                  <v:path arrowok="t"/>
                  <v:fill opacity="32899f" type="solid"/>
                </v:shape>
                <v:shape style="position:absolute;left:915;top:-161;width:2215;height:2205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1031;width:4050;height:3930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59"/>
                          </w:rPr>
                        </w:pPr>
                      </w:p>
                      <w:p>
                        <w:pPr>
                          <w:spacing w:line="240" w:lineRule="auto" w:before="279"/>
                          <w:rPr>
                            <w:sz w:val="59"/>
                          </w:rPr>
                        </w:pPr>
                      </w:p>
                      <w:p>
                        <w:pPr>
                          <w:spacing w:before="0"/>
                          <w:ind w:left="4" w:right="0" w:firstLine="0"/>
                          <w:jc w:val="center"/>
                          <w:rPr>
                            <w:b/>
                            <w:sz w:val="59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59"/>
                          </w:rPr>
                          <w:t>ME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MARCUS</w:t>
      </w:r>
      <w:r>
        <w:rPr>
          <w:spacing w:val="-52"/>
        </w:rPr>
        <w:t> </w:t>
      </w:r>
      <w:r>
        <w:rPr/>
        <w:t>T. </w:t>
      </w:r>
      <w:r>
        <w:rPr>
          <w:spacing w:val="-22"/>
        </w:rPr>
        <w:t>EBERHARDT</w:t>
      </w:r>
    </w:p>
    <w:p>
      <w:pPr>
        <w:spacing w:line="266" w:lineRule="auto" w:before="188"/>
        <w:ind w:left="4599" w:right="491" w:hanging="1"/>
        <w:jc w:val="center"/>
        <w:rPr>
          <w:sz w:val="18"/>
        </w:rPr>
      </w:pPr>
      <w:r>
        <w:rPr>
          <w:w w:val="105"/>
          <w:sz w:val="18"/>
        </w:rPr>
        <w:t>Senior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associate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M&amp;A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private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equity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six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representing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sponsors 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strategic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buyers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middle-market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deals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$25M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$400M.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Lead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day-to-day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deal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management,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run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diligence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teams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six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lawyers,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coordinate cross-border closings.</w:t>
      </w:r>
    </w:p>
    <w:p>
      <w:pPr>
        <w:pStyle w:val="BodyText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1920" w:h="16860"/>
          <w:pgMar w:top="0" w:bottom="0" w:left="0" w:right="141"/>
        </w:sectPr>
      </w:pPr>
    </w:p>
    <w:p>
      <w:pPr>
        <w:pStyle w:val="Heading3"/>
        <w:spacing w:before="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812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 h="10706100">
                              <a:moveTo>
                                <a:pt x="25812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581274" y="0"/>
                              </a:lnTo>
                              <a:lnTo>
                                <a:pt x="25812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F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3.249984pt;height:842.999933pt;mso-position-horizontal-relative:page;mso-position-vertical-relative:page;z-index:-15803392" id="docshape6" filled="true" fillcolor="#7e8f7c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2"/>
          <w:w w:val="105"/>
        </w:rPr>
        <w:t>Location</w:t>
      </w:r>
    </w:p>
    <w:p>
      <w:pPr>
        <w:spacing w:before="169"/>
        <w:ind w:left="687" w:right="0" w:firstLine="0"/>
        <w:jc w:val="left"/>
        <w:rPr>
          <w:sz w:val="18"/>
        </w:rPr>
      </w:pPr>
      <w:r>
        <w:rPr>
          <w:color w:val="FFFFFF"/>
          <w:sz w:val="18"/>
        </w:rPr>
        <w:t>Denver,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5"/>
          <w:sz w:val="18"/>
        </w:rPr>
        <w:t>CO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438149</wp:posOffset>
                </wp:positionH>
                <wp:positionV relativeFrom="paragraph">
                  <wp:posOffset>99483</wp:posOffset>
                </wp:positionV>
                <wp:extent cx="10763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076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9525">
                              <a:moveTo>
                                <a:pt x="10763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076324" y="0"/>
                              </a:lnTo>
                              <a:lnTo>
                                <a:pt x="10763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499996pt;margin-top:7.83336pt;width:84.749993pt;height:.75pt;mso-position-horizontal-relative:page;mso-position-vertical-relative:paragraph;z-index:-15728640;mso-wrap-distance-left:0;mso-wrap-distance-right:0" id="docshape7" filled="true" fillcolor="#fffff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687" w:right="0" w:firstLine="0"/>
        <w:jc w:val="left"/>
        <w:rPr>
          <w:sz w:val="18"/>
        </w:rPr>
      </w:pPr>
      <w:r>
        <w:rPr>
          <w:color w:val="FFFFFF"/>
          <w:sz w:val="18"/>
        </w:rPr>
        <w:t>(303)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0173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438149</wp:posOffset>
                </wp:positionH>
                <wp:positionV relativeFrom="paragraph">
                  <wp:posOffset>99717</wp:posOffset>
                </wp:positionV>
                <wp:extent cx="107632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76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9525">
                              <a:moveTo>
                                <a:pt x="10763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076324" y="0"/>
                              </a:lnTo>
                              <a:lnTo>
                                <a:pt x="10763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499996pt;margin-top:7.851754pt;width:84.749993pt;height:.75pt;mso-position-horizontal-relative:page;mso-position-vertical-relative:paragraph;z-index:-15728128;mso-wrap-distance-left:0;mso-wrap-distance-right:0" id="docshape8" filled="true" fillcolor="#fffff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687" w:right="0" w:firstLine="0"/>
        <w:jc w:val="left"/>
        <w:rPr>
          <w:sz w:val="18"/>
        </w:rPr>
      </w:pPr>
      <w:hyperlink r:id="rId6">
        <w:r>
          <w:rPr>
            <w:color w:val="FFFFFF"/>
            <w:spacing w:val="-2"/>
            <w:w w:val="105"/>
            <w:sz w:val="18"/>
          </w:rPr>
          <w:t>m.eberhardt@example.com</w:t>
        </w:r>
      </w:hyperlink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438149</wp:posOffset>
                </wp:positionH>
                <wp:positionV relativeFrom="paragraph">
                  <wp:posOffset>99717</wp:posOffset>
                </wp:positionV>
                <wp:extent cx="107632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076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9525">
                              <a:moveTo>
                                <a:pt x="10763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076324" y="0"/>
                              </a:lnTo>
                              <a:lnTo>
                                <a:pt x="10763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499996pt;margin-top:7.851754pt;width:84.749993pt;height:.75pt;mso-position-horizontal-relative:page;mso-position-vertical-relative:paragraph;z-index:-15727616;mso-wrap-distance-left:0;mso-wrap-distance-right:0" id="docshape9" filled="true" fillcolor="#fffff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  <w:spacing w:before="191"/>
      </w:pPr>
      <w:r>
        <w:rPr>
          <w:color w:val="FFFFFF"/>
          <w:spacing w:val="-2"/>
          <w:w w:val="105"/>
        </w:rPr>
        <w:t>Website</w:t>
      </w:r>
    </w:p>
    <w:p>
      <w:pPr>
        <w:spacing w:before="168"/>
        <w:ind w:left="68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Linkedin.com/in/marcusebhardt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Education</w:t>
      </w:r>
    </w:p>
    <w:p>
      <w:pPr>
        <w:spacing w:line="278" w:lineRule="auto" w:before="155"/>
        <w:ind w:left="687" w:right="46" w:firstLine="0"/>
        <w:jc w:val="left"/>
        <w:rPr>
          <w:sz w:val="18"/>
        </w:rPr>
      </w:pPr>
      <w:r>
        <w:rPr>
          <w:color w:val="FFFFFF"/>
          <w:w w:val="105"/>
          <w:sz w:val="18"/>
        </w:rPr>
        <w:t>University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of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Virginia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School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of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Law February 2019</w:t>
      </w:r>
    </w:p>
    <w:p>
      <w:pPr>
        <w:spacing w:line="192" w:lineRule="exact" w:before="0"/>
        <w:ind w:left="68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J.D.,</w:t>
      </w:r>
    </w:p>
    <w:p>
      <w:pPr>
        <w:pStyle w:val="BodyText"/>
        <w:rPr>
          <w:sz w:val="18"/>
        </w:rPr>
      </w:pPr>
    </w:p>
    <w:p>
      <w:pPr>
        <w:pStyle w:val="BodyText"/>
        <w:spacing w:before="129"/>
        <w:rPr>
          <w:sz w:val="18"/>
        </w:rPr>
      </w:pPr>
    </w:p>
    <w:p>
      <w:pPr>
        <w:spacing w:line="268" w:lineRule="auto" w:before="1"/>
        <w:ind w:left="68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University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Illinois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Urbana-</w:t>
      </w:r>
      <w:r>
        <w:rPr>
          <w:color w:val="FFFFFF"/>
          <w:w w:val="105"/>
          <w:sz w:val="18"/>
        </w:rPr>
        <w:t>Champaign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(Bronze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Tablet) September 2016</w:t>
      </w:r>
    </w:p>
    <w:p>
      <w:pPr>
        <w:spacing w:before="9"/>
        <w:ind w:left="687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B.S.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Finance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7"/>
        <w:rPr>
          <w:sz w:val="18"/>
        </w:rPr>
      </w:pPr>
    </w:p>
    <w:p>
      <w:pPr>
        <w:spacing w:line="261" w:lineRule="auto" w:before="0"/>
        <w:ind w:left="68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Bar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Admissions: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Colorado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(2022), </w:t>
      </w:r>
      <w:r>
        <w:rPr>
          <w:color w:val="FFFFFF"/>
          <w:w w:val="105"/>
          <w:sz w:val="18"/>
        </w:rPr>
        <w:t>Utah (2019), New York (2020)</w:t>
      </w:r>
    </w:p>
    <w:p>
      <w:pPr>
        <w:pStyle w:val="BodyText"/>
        <w:spacing w:before="75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Key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155" w:after="0"/>
        <w:ind w:left="985" w:right="0" w:hanging="296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Mergers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acquisitions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123" w:after="0"/>
        <w:ind w:left="985" w:right="0" w:hanging="296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Private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equity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transactions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61" w:lineRule="auto" w:before="123" w:after="0"/>
        <w:ind w:left="985" w:right="265" w:hanging="296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Purchase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agreement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drafting </w:t>
      </w:r>
      <w:r>
        <w:rPr>
          <w:color w:val="FFFFFF"/>
          <w:w w:val="105"/>
          <w:sz w:val="18"/>
        </w:rPr>
        <w:t>and negotiation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78" w:lineRule="auto" w:before="104" w:after="0"/>
        <w:ind w:left="985" w:right="38" w:hanging="296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Representations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warranties insurance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75" w:after="0"/>
        <w:ind w:left="985" w:right="0" w:hanging="296"/>
        <w:jc w:val="left"/>
        <w:rPr>
          <w:sz w:val="18"/>
        </w:rPr>
      </w:pPr>
      <w:r>
        <w:rPr>
          <w:color w:val="FFFFFF"/>
          <w:sz w:val="18"/>
        </w:rPr>
        <w:t>Cross-border</w:t>
      </w:r>
      <w:r>
        <w:rPr>
          <w:color w:val="FFFFFF"/>
          <w:spacing w:val="14"/>
          <w:sz w:val="18"/>
        </w:rPr>
        <w:t> </w:t>
      </w:r>
      <w:r>
        <w:rPr>
          <w:color w:val="FFFFFF"/>
          <w:sz w:val="18"/>
        </w:rPr>
        <w:t>deal</w:t>
      </w:r>
      <w:r>
        <w:rPr>
          <w:color w:val="FFFFFF"/>
          <w:spacing w:val="15"/>
          <w:sz w:val="18"/>
        </w:rPr>
        <w:t> </w:t>
      </w:r>
      <w:r>
        <w:rPr>
          <w:color w:val="FFFFFF"/>
          <w:spacing w:val="-2"/>
          <w:sz w:val="18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123" w:after="0"/>
        <w:ind w:left="985" w:right="0" w:hanging="296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Due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diligence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61" w:lineRule="auto" w:before="123" w:after="0"/>
        <w:ind w:left="985" w:right="544" w:hanging="296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Earn-out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post-closing disputes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104" w:after="0"/>
        <w:ind w:left="985" w:right="0" w:hanging="296"/>
        <w:jc w:val="left"/>
        <w:rPr>
          <w:sz w:val="18"/>
        </w:rPr>
      </w:pPr>
      <w:r>
        <w:rPr>
          <w:color w:val="FFFFFF"/>
          <w:sz w:val="18"/>
        </w:rPr>
        <w:t>Disclosure</w:t>
      </w:r>
      <w:r>
        <w:rPr>
          <w:color w:val="FFFFFF"/>
          <w:spacing w:val="17"/>
          <w:sz w:val="18"/>
        </w:rPr>
        <w:t> </w:t>
      </w:r>
      <w:r>
        <w:rPr>
          <w:color w:val="FFFFFF"/>
          <w:spacing w:val="-2"/>
          <w:sz w:val="18"/>
        </w:rPr>
        <w:t>schedules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123" w:after="0"/>
        <w:ind w:left="985" w:right="0" w:hanging="296"/>
        <w:jc w:val="left"/>
        <w:rPr>
          <w:sz w:val="18"/>
        </w:rPr>
      </w:pPr>
      <w:r>
        <w:rPr>
          <w:color w:val="FFFFFF"/>
          <w:sz w:val="18"/>
        </w:rPr>
        <w:t>Junior</w:t>
      </w:r>
      <w:r>
        <w:rPr>
          <w:color w:val="FFFFFF"/>
          <w:spacing w:val="13"/>
          <w:sz w:val="18"/>
        </w:rPr>
        <w:t> </w:t>
      </w:r>
      <w:r>
        <w:rPr>
          <w:color w:val="FFFFFF"/>
          <w:sz w:val="18"/>
        </w:rPr>
        <w:t>associate</w:t>
      </w:r>
      <w:r>
        <w:rPr>
          <w:color w:val="FFFFFF"/>
          <w:spacing w:val="13"/>
          <w:sz w:val="18"/>
        </w:rPr>
        <w:t> </w:t>
      </w:r>
      <w:r>
        <w:rPr>
          <w:color w:val="FFFFFF"/>
          <w:spacing w:val="-2"/>
          <w:sz w:val="18"/>
        </w:rPr>
        <w:t>supervision</w:t>
      </w:r>
    </w:p>
    <w:p>
      <w:pPr>
        <w:pStyle w:val="BodyText"/>
        <w:spacing w:before="10" w:after="24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20" w:lineRule="exact"/>
        <w:ind w:left="38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619625" cy="952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619625" cy="9525"/>
                          <a:chExt cx="4619625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3.75pt;height:.75pt;mso-position-horizontal-relative:char;mso-position-vertical-relative:line" id="docshapegroup10" coordorigin="0,0" coordsize="7275,15">
                <v:rect style="position:absolute;left:0;top:0;width:7275;height:15" id="docshape11" filled="true" fillcolor="#000000" stroked="false">
                  <v:fill opacity="28783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before="334"/>
      </w:pPr>
      <w:r>
        <w:rPr/>
        <w:t>Professional</w:t>
      </w:r>
      <w:r>
        <w:rPr>
          <w:spacing w:val="3"/>
        </w:rPr>
        <w:t> </w:t>
      </w:r>
      <w:r>
        <w:rPr>
          <w:spacing w:val="-2"/>
        </w:rPr>
        <w:t>Experience</w:t>
      </w:r>
    </w:p>
    <w:p>
      <w:pPr>
        <w:pStyle w:val="BodyText"/>
        <w:spacing w:before="159"/>
        <w:ind w:left="594"/>
      </w:pPr>
      <w:r>
        <w:rPr>
          <w:spacing w:val="-2"/>
          <w:w w:val="105"/>
        </w:rPr>
        <w:t>Senior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Associate,</w:t>
      </w:r>
      <w:r>
        <w:rPr>
          <w:w w:val="105"/>
        </w:rPr>
        <w:t> </w:t>
      </w:r>
      <w:r>
        <w:rPr>
          <w:spacing w:val="-2"/>
          <w:w w:val="105"/>
        </w:rPr>
        <w:t>M&amp;A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w w:val="105"/>
        </w:rPr>
        <w:t> </w:t>
      </w:r>
      <w:r>
        <w:rPr>
          <w:spacing w:val="-2"/>
          <w:w w:val="105"/>
        </w:rPr>
        <w:t>Private</w:t>
      </w:r>
      <w:r>
        <w:rPr>
          <w:w w:val="105"/>
        </w:rPr>
        <w:t> </w:t>
      </w:r>
      <w:r>
        <w:rPr>
          <w:spacing w:val="-2"/>
          <w:w w:val="105"/>
        </w:rPr>
        <w:t>Equity,</w:t>
      </w:r>
      <w:r>
        <w:rPr>
          <w:w w:val="105"/>
        </w:rPr>
        <w:t> </w:t>
      </w:r>
      <w:r>
        <w:rPr>
          <w:spacing w:val="-2"/>
          <w:w w:val="105"/>
        </w:rPr>
        <w:t>Castlemoor</w:t>
      </w:r>
      <w:r>
        <w:rPr>
          <w:w w:val="105"/>
        </w:rPr>
        <w:t> </w:t>
      </w:r>
      <w:r>
        <w:rPr>
          <w:spacing w:val="-2"/>
          <w:w w:val="105"/>
        </w:rPr>
        <w:t>Reed</w:t>
      </w:r>
      <w:r>
        <w:rPr>
          <w:w w:val="105"/>
        </w:rPr>
        <w:t> </w:t>
      </w:r>
      <w:r>
        <w:rPr>
          <w:spacing w:val="-2"/>
          <w:w w:val="105"/>
        </w:rPr>
        <w:t>LLP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|</w:t>
      </w:r>
      <w:r>
        <w:rPr>
          <w:w w:val="105"/>
        </w:rPr>
        <w:t> </w:t>
      </w:r>
      <w:r>
        <w:rPr>
          <w:spacing w:val="-2"/>
          <w:w w:val="105"/>
        </w:rPr>
        <w:t>Denver,</w:t>
      </w:r>
      <w:r>
        <w:rPr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41"/>
        <w:ind w:left="594"/>
      </w:pP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w w:val="105"/>
        </w:rPr>
        <w:t>2022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tabs>
          <w:tab w:pos="1171" w:val="left" w:leader="none"/>
        </w:tabs>
        <w:spacing w:line="273" w:lineRule="auto"/>
        <w:ind w:left="1171" w:right="330" w:hanging="291"/>
      </w:pPr>
      <w:r>
        <w:rPr/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Closed 11 buy-side transactions in 2024 with aggregate deal value of $1.6B for two recurring PE sponsor clients.</w:t>
      </w:r>
    </w:p>
    <w:p>
      <w:pPr>
        <w:pStyle w:val="BodyText"/>
        <w:tabs>
          <w:tab w:pos="1171" w:val="left" w:leader="none"/>
        </w:tabs>
        <w:spacing w:line="273" w:lineRule="auto" w:before="91"/>
        <w:ind w:left="1171" w:right="138" w:hanging="291"/>
      </w:pPr>
      <w:r>
        <w:rPr/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Negotiated</w:t>
      </w:r>
      <w:r>
        <w:rPr>
          <w:spacing w:val="40"/>
          <w:w w:val="105"/>
        </w:rPr>
        <w:t> </w:t>
      </w:r>
      <w:r>
        <w:rPr>
          <w:w w:val="105"/>
        </w:rPr>
        <w:t>purchase agreements, equity rollover terms, and R&amp;W insurance</w:t>
      </w:r>
      <w:r>
        <w:rPr>
          <w:spacing w:val="40"/>
          <w:w w:val="105"/>
        </w:rPr>
        <w:t> </w:t>
      </w:r>
      <w:r>
        <w:rPr>
          <w:w w:val="105"/>
        </w:rPr>
        <w:t>binders alongside the lead partner; ﬁrst-chair on three transactions</w:t>
      </w:r>
      <w:r>
        <w:rPr>
          <w:spacing w:val="40"/>
          <w:w w:val="105"/>
        </w:rPr>
        <w:t> </w:t>
      </w:r>
      <w:r>
        <w:rPr>
          <w:w w:val="105"/>
        </w:rPr>
        <w:t>under $75M.</w:t>
      </w:r>
    </w:p>
    <w:p>
      <w:pPr>
        <w:pStyle w:val="BodyText"/>
        <w:tabs>
          <w:tab w:pos="1171" w:val="left" w:leader="none"/>
        </w:tabs>
        <w:spacing w:line="273" w:lineRule="auto" w:before="90"/>
        <w:ind w:left="1171" w:right="92" w:hanging="291"/>
      </w:pPr>
      <w:r>
        <w:rPr/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Built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managed</w:t>
      </w:r>
      <w:r>
        <w:rPr>
          <w:spacing w:val="-2"/>
          <w:w w:val="105"/>
        </w:rPr>
        <w:t> </w:t>
      </w:r>
      <w:r>
        <w:rPr>
          <w:w w:val="105"/>
        </w:rPr>
        <w:t>diligence</w:t>
      </w:r>
      <w:r>
        <w:rPr>
          <w:spacing w:val="-2"/>
          <w:w w:val="105"/>
        </w:rPr>
        <w:t> </w:t>
      </w:r>
      <w:r>
        <w:rPr>
          <w:w w:val="105"/>
        </w:rPr>
        <w:t>workstreams</w:t>
      </w:r>
      <w:r>
        <w:rPr>
          <w:spacing w:val="-2"/>
          <w:w w:val="105"/>
        </w:rPr>
        <w:t> </w:t>
      </w:r>
      <w:r>
        <w:rPr>
          <w:w w:val="105"/>
        </w:rPr>
        <w:t>across</w:t>
      </w:r>
      <w:r>
        <w:rPr>
          <w:spacing w:val="-2"/>
          <w:w w:val="105"/>
        </w:rPr>
        <w:t> </w:t>
      </w:r>
      <w:r>
        <w:rPr>
          <w:w w:val="105"/>
        </w:rPr>
        <w:t>IP,</w:t>
      </w:r>
      <w:r>
        <w:rPr>
          <w:spacing w:val="40"/>
          <w:w w:val="105"/>
        </w:rPr>
        <w:t> </w:t>
      </w:r>
      <w:r>
        <w:rPr>
          <w:w w:val="105"/>
        </w:rPr>
        <w:t>employment,</w:t>
      </w:r>
      <w:r>
        <w:rPr>
          <w:spacing w:val="-2"/>
          <w:w w:val="105"/>
        </w:rPr>
        <w:t> </w:t>
      </w:r>
      <w:r>
        <w:rPr>
          <w:w w:val="105"/>
        </w:rPr>
        <w:t>regulatory,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tax; coordinated with U.K. and Canadian</w:t>
      </w:r>
      <w:r>
        <w:rPr>
          <w:spacing w:val="40"/>
          <w:w w:val="105"/>
        </w:rPr>
        <w:t> </w:t>
      </w:r>
      <w:r>
        <w:rPr>
          <w:w w:val="105"/>
        </w:rPr>
        <w:t>local counsel on cross-border carve-outs.</w:t>
      </w:r>
    </w:p>
    <w:p>
      <w:pPr>
        <w:pStyle w:val="BodyText"/>
        <w:tabs>
          <w:tab w:pos="1171" w:val="left" w:leader="none"/>
        </w:tabs>
        <w:spacing w:line="273" w:lineRule="auto" w:before="106"/>
        <w:ind w:left="1217" w:right="92" w:hanging="33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Drafted board</w:t>
      </w:r>
      <w:r>
        <w:rPr>
          <w:spacing w:val="40"/>
          <w:w w:val="105"/>
        </w:rPr>
        <w:t> </w:t>
      </w:r>
      <w:r>
        <w:rPr>
          <w:w w:val="105"/>
        </w:rPr>
        <w:t>consents, ofﬁcer certiﬁcates, and disclosure schedules; supervised two junior associates and a paralegal per deal.</w:t>
      </w:r>
    </w:p>
    <w:p>
      <w:pPr>
        <w:pStyle w:val="BodyText"/>
        <w:tabs>
          <w:tab w:pos="1171" w:val="left" w:leader="none"/>
        </w:tabs>
        <w:spacing w:line="273" w:lineRule="auto" w:before="90"/>
        <w:ind w:left="1171" w:right="138" w:hanging="291"/>
      </w:pPr>
      <w:r>
        <w:rPr/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Authored the ﬁrm's internal guide on earn-out drafting after recurring disputes in post-closing matters.</w:t>
      </w:r>
    </w:p>
    <w:p>
      <w:pPr>
        <w:pStyle w:val="BodyText"/>
        <w:spacing w:before="87"/>
      </w:pPr>
    </w:p>
    <w:p>
      <w:pPr>
        <w:pStyle w:val="BodyText"/>
        <w:ind w:left="594"/>
      </w:pPr>
      <w:r>
        <w:rPr>
          <w:w w:val="105"/>
        </w:rPr>
        <w:t>Associate,</w:t>
      </w:r>
      <w:r>
        <w:rPr>
          <w:spacing w:val="-12"/>
          <w:w w:val="105"/>
        </w:rPr>
        <w:t> </w:t>
      </w:r>
      <w:r>
        <w:rPr>
          <w:w w:val="105"/>
        </w:rPr>
        <w:t>Corporate</w:t>
      </w:r>
      <w:r>
        <w:rPr>
          <w:spacing w:val="-12"/>
          <w:w w:val="105"/>
        </w:rPr>
        <w:t> </w:t>
      </w:r>
      <w:r>
        <w:rPr>
          <w:w w:val="105"/>
        </w:rPr>
        <w:t>Group,</w:t>
      </w:r>
      <w:r>
        <w:rPr>
          <w:spacing w:val="-11"/>
          <w:w w:val="105"/>
        </w:rPr>
        <w:t> </w:t>
      </w:r>
      <w:r>
        <w:rPr>
          <w:w w:val="105"/>
        </w:rPr>
        <w:t>Whitlock</w:t>
      </w:r>
      <w:r>
        <w:rPr>
          <w:spacing w:val="-11"/>
          <w:w w:val="105"/>
        </w:rPr>
        <w:t> </w:t>
      </w:r>
      <w:r>
        <w:rPr>
          <w:w w:val="105"/>
        </w:rPr>
        <w:t>Pemberton</w:t>
      </w:r>
      <w:r>
        <w:rPr>
          <w:spacing w:val="-10"/>
          <w:w w:val="105"/>
        </w:rPr>
        <w:t> </w:t>
      </w:r>
      <w:r>
        <w:rPr>
          <w:w w:val="105"/>
        </w:rPr>
        <w:t>LLP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Salt</w:t>
      </w:r>
      <w:r>
        <w:rPr>
          <w:spacing w:val="-11"/>
          <w:w w:val="105"/>
        </w:rPr>
        <w:t> </w:t>
      </w:r>
      <w:r>
        <w:rPr>
          <w:w w:val="105"/>
        </w:rPr>
        <w:t>Lake</w:t>
      </w:r>
      <w:r>
        <w:rPr>
          <w:spacing w:val="-11"/>
          <w:w w:val="105"/>
        </w:rPr>
        <w:t> </w:t>
      </w:r>
      <w:r>
        <w:rPr>
          <w:w w:val="105"/>
        </w:rPr>
        <w:t>City,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UT</w:t>
      </w:r>
    </w:p>
    <w:p>
      <w:pPr>
        <w:pStyle w:val="BodyText"/>
        <w:spacing w:before="56"/>
        <w:ind w:left="594"/>
      </w:pP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2019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37"/>
      </w:pPr>
    </w:p>
    <w:p>
      <w:pPr>
        <w:pStyle w:val="BodyText"/>
        <w:tabs>
          <w:tab w:pos="1171" w:val="left" w:leader="none"/>
        </w:tabs>
        <w:spacing w:line="273" w:lineRule="auto"/>
        <w:ind w:left="1171" w:right="733" w:hanging="291"/>
      </w:pPr>
      <w:r>
        <w:rPr/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Supported sell-side representations of founder-led companies in software and healthcare services.</w:t>
      </w:r>
    </w:p>
    <w:p>
      <w:pPr>
        <w:pStyle w:val="BodyText"/>
        <w:tabs>
          <w:tab w:pos="1171" w:val="left" w:leader="none"/>
        </w:tabs>
        <w:spacing w:line="273" w:lineRule="auto" w:before="90"/>
        <w:ind w:left="1171" w:right="656" w:hanging="291"/>
      </w:pPr>
      <w:r>
        <w:rPr/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Drafted NDAs, LOIs, and ancillary closing documents across approximately 30 </w:t>
      </w:r>
      <w:r>
        <w:rPr>
          <w:spacing w:val="-2"/>
          <w:w w:val="105"/>
        </w:rPr>
        <w:t>transactions.</w:t>
      </w:r>
    </w:p>
    <w:p>
      <w:pPr>
        <w:pStyle w:val="BodyText"/>
        <w:tabs>
          <w:tab w:pos="1171" w:val="left" w:leader="none"/>
        </w:tabs>
        <w:spacing w:line="273" w:lineRule="auto" w:before="106"/>
        <w:ind w:left="1171" w:right="79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Took</w:t>
      </w:r>
      <w:r>
        <w:rPr>
          <w:spacing w:val="-1"/>
          <w:w w:val="105"/>
        </w:rPr>
        <w:t> </w:t>
      </w:r>
      <w:r>
        <w:rPr>
          <w:w w:val="105"/>
        </w:rPr>
        <w:t>primary</w:t>
      </w:r>
      <w:r>
        <w:rPr>
          <w:spacing w:val="-1"/>
          <w:w w:val="105"/>
        </w:rPr>
        <w:t> </w:t>
      </w:r>
      <w:r>
        <w:rPr>
          <w:w w:val="105"/>
        </w:rPr>
        <w:t>responsibility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diligence</w:t>
      </w:r>
      <w:r>
        <w:rPr>
          <w:spacing w:val="-1"/>
          <w:w w:val="105"/>
        </w:rPr>
        <w:t> </w:t>
      </w:r>
      <w:r>
        <w:rPr>
          <w:w w:val="105"/>
        </w:rPr>
        <w:t>review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contracts</w:t>
      </w:r>
      <w:r>
        <w:rPr>
          <w:spacing w:val="-1"/>
          <w:w w:val="105"/>
        </w:rPr>
        <w:t> </w:t>
      </w:r>
      <w:r>
        <w:rPr>
          <w:w w:val="105"/>
        </w:rPr>
        <w:t>databases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500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2,000 </w:t>
      </w:r>
      <w:r>
        <w:rPr>
          <w:spacing w:val="-2"/>
          <w:w w:val="105"/>
        </w:rPr>
        <w:t>documents.</w:t>
      </w:r>
    </w:p>
    <w:p>
      <w:pPr>
        <w:pStyle w:val="BodyText"/>
        <w:tabs>
          <w:tab w:pos="1171" w:val="left" w:leader="none"/>
        </w:tabs>
        <w:spacing w:line="273" w:lineRule="auto" w:before="90"/>
        <w:ind w:left="1171" w:right="420" w:hanging="291"/>
      </w:pPr>
      <w:r>
        <w:rPr/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Mentored two summer associates and contributed to recruiting at two regional law </w:t>
      </w:r>
      <w:r>
        <w:rPr>
          <w:spacing w:val="-2"/>
          <w:w w:val="105"/>
        </w:rPr>
        <w:t>schools.</w:t>
      </w:r>
    </w:p>
    <w:p>
      <w:pPr>
        <w:pStyle w:val="BodyText"/>
        <w:spacing w:after="0" w:line="273" w:lineRule="auto"/>
        <w:sectPr>
          <w:type w:val="continuous"/>
          <w:pgSz w:w="11920" w:h="16860"/>
          <w:pgMar w:top="0" w:bottom="0" w:left="0" w:right="141"/>
          <w:cols w:num="2" w:equalWidth="0">
            <w:col w:w="3650" w:space="405"/>
            <w:col w:w="7724"/>
          </w:cols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5812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 h="10706100">
                              <a:moveTo>
                                <a:pt x="25812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581274" y="0"/>
                              </a:lnTo>
                              <a:lnTo>
                                <a:pt x="25812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F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3.249984pt;height:842.999933pt;mso-position-horizontal-relative:page;mso-position-vertical-relative:page;z-index:-15802368" id="docshape12" filled="true" fillcolor="#7e8f7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4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78" w:lineRule="auto" w:before="0" w:after="0"/>
        <w:ind w:left="985" w:right="8610" w:hanging="296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Bloomberg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Law,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Intralinks, DealCloud</w:t>
      </w:r>
    </w:p>
    <w:sectPr>
      <w:pgSz w:w="11920" w:h="16860"/>
      <w:pgMar w:top="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85" w:hanging="2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6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3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0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7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4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1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48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15" w:hanging="29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709" w:firstLine="289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90"/>
      <w:outlineLvl w:val="2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76"/>
      <w:ind w:left="687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985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.eberhardt@example.com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2026-06-17T08:50:30Z</dcterms:created>
  <dcterms:modified xsi:type="dcterms:W3CDTF">2026-06-17T08:50:30Z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2026-06-17T00:00:00Z</vt:filetime>
  </property>
  <property fmtid="{D5CDD505-2E9C-101B-9397-08002B2CF9AE}" pid="5" name="Producer">
    <vt:lpwstr>pdf-merger-js</vt:lpwstr>
  </property>
</Properties>
</file>