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340" w:right="11" w:firstLine="0"/>
        <w:jc w:val="center"/>
        <w:rPr>
          <w:sz w:val="74"/>
        </w:rPr>
      </w:pPr>
      <w:r>
        <w:rPr>
          <w:b/>
          <w:color w:val="0C5394"/>
          <w:spacing w:val="11"/>
          <w:sz w:val="74"/>
        </w:rPr>
        <w:t>Justin</w:t>
      </w:r>
      <w:r>
        <w:rPr>
          <w:b/>
          <w:color w:val="0C5394"/>
          <w:spacing w:val="35"/>
          <w:sz w:val="74"/>
        </w:rPr>
        <w:t> </w:t>
      </w:r>
      <w:r>
        <w:rPr>
          <w:color w:val="0C5394"/>
          <w:spacing w:val="9"/>
          <w:sz w:val="74"/>
        </w:rPr>
        <w:t>Parker</w:t>
      </w:r>
    </w:p>
    <w:p>
      <w:pPr>
        <w:spacing w:before="83"/>
        <w:ind w:left="4340" w:right="0" w:firstLine="0"/>
        <w:jc w:val="center"/>
        <w:rPr>
          <w:b/>
          <w:sz w:val="16"/>
        </w:rPr>
      </w:pPr>
      <w:r>
        <w:rPr>
          <w:b/>
          <w:color w:val="0C5394"/>
          <w:spacing w:val="-2"/>
          <w:w w:val="105"/>
          <w:sz w:val="16"/>
        </w:rPr>
        <w:t>Consultant</w:t>
      </w:r>
    </w:p>
    <w:p>
      <w:pPr>
        <w:pStyle w:val="BodyText"/>
        <w:spacing w:before="0"/>
        <w:ind w:firstLine="0"/>
        <w:rPr>
          <w:b/>
          <w:sz w:val="18"/>
        </w:rPr>
      </w:pPr>
    </w:p>
    <w:p>
      <w:pPr>
        <w:pStyle w:val="BodyText"/>
        <w:spacing w:before="88"/>
        <w:ind w:firstLine="0"/>
        <w:rPr>
          <w:b/>
          <w:sz w:val="18"/>
        </w:rPr>
      </w:pPr>
    </w:p>
    <w:p>
      <w:pPr>
        <w:spacing w:before="0"/>
        <w:ind w:left="4336" w:right="0" w:firstLine="0"/>
        <w:jc w:val="left"/>
        <w:rPr>
          <w:b/>
          <w:sz w:val="18"/>
        </w:rPr>
      </w:pPr>
      <w:r>
        <w:rPr>
          <w:b/>
          <w:color w:val="0C5394"/>
          <w:w w:val="105"/>
          <w:sz w:val="18"/>
        </w:rPr>
        <w:t>A</w:t>
      </w:r>
      <w:r>
        <w:rPr>
          <w:b/>
          <w:color w:val="0C5394"/>
          <w:spacing w:val="-16"/>
          <w:w w:val="105"/>
          <w:sz w:val="18"/>
        </w:rPr>
        <w:t> </w:t>
      </w:r>
      <w:r>
        <w:rPr>
          <w:b/>
          <w:color w:val="0C5394"/>
          <w:w w:val="105"/>
          <w:sz w:val="18"/>
        </w:rPr>
        <w:t>B</w:t>
      </w:r>
      <w:r>
        <w:rPr>
          <w:b/>
          <w:color w:val="0C5394"/>
          <w:spacing w:val="-15"/>
          <w:w w:val="105"/>
          <w:sz w:val="18"/>
        </w:rPr>
        <w:t> </w:t>
      </w:r>
      <w:r>
        <w:rPr>
          <w:b/>
          <w:color w:val="0C5394"/>
          <w:w w:val="105"/>
          <w:sz w:val="18"/>
        </w:rPr>
        <w:t>O</w:t>
      </w:r>
      <w:r>
        <w:rPr>
          <w:b/>
          <w:color w:val="0C5394"/>
          <w:spacing w:val="-16"/>
          <w:w w:val="105"/>
          <w:sz w:val="18"/>
        </w:rPr>
        <w:t> </w:t>
      </w:r>
      <w:r>
        <w:rPr>
          <w:b/>
          <w:color w:val="0C5394"/>
          <w:w w:val="105"/>
          <w:sz w:val="18"/>
        </w:rPr>
        <w:t>U</w:t>
      </w:r>
      <w:r>
        <w:rPr>
          <w:b/>
          <w:color w:val="0C5394"/>
          <w:spacing w:val="-15"/>
          <w:w w:val="105"/>
          <w:sz w:val="18"/>
        </w:rPr>
        <w:t> </w:t>
      </w:r>
      <w:r>
        <w:rPr>
          <w:b/>
          <w:color w:val="0C5394"/>
          <w:w w:val="105"/>
          <w:sz w:val="18"/>
        </w:rPr>
        <w:t>T</w:t>
      </w:r>
      <w:r>
        <w:rPr>
          <w:b/>
          <w:color w:val="0C5394"/>
          <w:spacing w:val="56"/>
          <w:w w:val="105"/>
          <w:sz w:val="18"/>
        </w:rPr>
        <w:t> </w:t>
      </w:r>
      <w:r>
        <w:rPr>
          <w:b/>
          <w:color w:val="0C5394"/>
          <w:w w:val="105"/>
          <w:sz w:val="18"/>
        </w:rPr>
        <w:t>M</w:t>
      </w:r>
      <w:r>
        <w:rPr>
          <w:b/>
          <w:color w:val="0C5394"/>
          <w:spacing w:val="-15"/>
          <w:w w:val="105"/>
          <w:sz w:val="18"/>
        </w:rPr>
        <w:t> </w:t>
      </w:r>
      <w:r>
        <w:rPr>
          <w:b/>
          <w:color w:val="0C5394"/>
          <w:spacing w:val="-10"/>
          <w:w w:val="105"/>
          <w:sz w:val="18"/>
        </w:rPr>
        <w:t>E</w:t>
      </w:r>
    </w:p>
    <w:p>
      <w:pPr>
        <w:pStyle w:val="BodyText"/>
        <w:spacing w:line="292" w:lineRule="auto" w:before="187"/>
        <w:ind w:left="4336" w:right="263" w:firstLine="0"/>
      </w:pPr>
      <w:r>
        <w:rPr>
          <w:w w:val="105"/>
        </w:rPr>
        <w:t>Independent</w:t>
      </w:r>
      <w:r>
        <w:rPr>
          <w:spacing w:val="40"/>
          <w:w w:val="105"/>
        </w:rPr>
        <w:t> </w:t>
      </w:r>
      <w:r>
        <w:rPr>
          <w:w w:val="105"/>
        </w:rPr>
        <w:t>management</w:t>
      </w:r>
      <w:r>
        <w:rPr>
          <w:spacing w:val="40"/>
          <w:w w:val="105"/>
        </w:rPr>
        <w:t> </w:t>
      </w:r>
      <w:r>
        <w:rPr>
          <w:w w:val="105"/>
        </w:rPr>
        <w:t>consultant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9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across</w:t>
      </w:r>
      <w:r>
        <w:rPr>
          <w:spacing w:val="40"/>
          <w:w w:val="105"/>
        </w:rPr>
        <w:t> </w:t>
      </w:r>
      <w:r>
        <w:rPr>
          <w:w w:val="105"/>
        </w:rPr>
        <w:t>strategy,</w:t>
      </w:r>
      <w:r>
        <w:rPr>
          <w:spacing w:val="40"/>
          <w:w w:val="105"/>
        </w:rPr>
        <w:t> </w:t>
      </w:r>
      <w:r>
        <w:rPr>
          <w:w w:val="105"/>
        </w:rPr>
        <w:t>operations,</w:t>
      </w:r>
      <w:r>
        <w:rPr>
          <w:spacing w:val="40"/>
          <w:w w:val="105"/>
        </w:rPr>
        <w:t> </w:t>
      </w:r>
      <w:r>
        <w:rPr>
          <w:w w:val="105"/>
        </w:rPr>
        <w:t>and post-merger</w:t>
      </w:r>
      <w:r>
        <w:rPr>
          <w:spacing w:val="37"/>
          <w:w w:val="105"/>
        </w:rPr>
        <w:t> </w:t>
      </w:r>
      <w:r>
        <w:rPr>
          <w:w w:val="105"/>
        </w:rPr>
        <w:t>integration</w:t>
      </w:r>
      <w:r>
        <w:rPr>
          <w:spacing w:val="37"/>
          <w:w w:val="105"/>
        </w:rPr>
        <w:t> </w:t>
      </w:r>
      <w:r>
        <w:rPr>
          <w:w w:val="105"/>
        </w:rPr>
        <w:t>for</w:t>
      </w:r>
      <w:r>
        <w:rPr>
          <w:spacing w:val="37"/>
          <w:w w:val="105"/>
        </w:rPr>
        <w:t> </w:t>
      </w:r>
      <w:r>
        <w:rPr>
          <w:w w:val="105"/>
        </w:rPr>
        <w:t>mid-market</w:t>
      </w:r>
      <w:r>
        <w:rPr>
          <w:spacing w:val="37"/>
          <w:w w:val="105"/>
        </w:rPr>
        <w:t> </w:t>
      </w:r>
      <w:r>
        <w:rPr>
          <w:w w:val="105"/>
        </w:rPr>
        <w:t>clients</w:t>
      </w:r>
      <w:r>
        <w:rPr>
          <w:spacing w:val="37"/>
          <w:w w:val="105"/>
        </w:rPr>
        <w:t> </w:t>
      </w:r>
      <w:r>
        <w:rPr>
          <w:w w:val="105"/>
        </w:rPr>
        <w:t>in</w:t>
      </w:r>
      <w:r>
        <w:rPr>
          <w:spacing w:val="37"/>
          <w:w w:val="105"/>
        </w:rPr>
        <w:t> </w:t>
      </w:r>
      <w:r>
        <w:rPr>
          <w:w w:val="105"/>
        </w:rPr>
        <w:t>industrials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healthcare</w:t>
      </w:r>
      <w:r>
        <w:rPr>
          <w:spacing w:val="37"/>
          <w:w w:val="105"/>
        </w:rPr>
        <w:t> </w:t>
      </w:r>
      <w:r>
        <w:rPr>
          <w:w w:val="105"/>
        </w:rPr>
        <w:t>services. Recent engagements focused on cost takeout, GTM redesign, and PE portfolio</w:t>
      </w:r>
      <w:r>
        <w:rPr>
          <w:spacing w:val="80"/>
          <w:w w:val="105"/>
        </w:rPr>
        <w:t> </w:t>
      </w:r>
      <w:r>
        <w:rPr>
          <w:w w:val="105"/>
        </w:rPr>
        <w:t>diligence.</w:t>
      </w:r>
      <w:r>
        <w:rPr>
          <w:spacing w:val="40"/>
          <w:w w:val="105"/>
        </w:rPr>
        <w:t> </w:t>
      </w:r>
      <w:r>
        <w:rPr>
          <w:w w:val="105"/>
        </w:rPr>
        <w:t>Comfortable</w:t>
      </w:r>
      <w:r>
        <w:rPr>
          <w:spacing w:val="40"/>
          <w:w w:val="105"/>
        </w:rPr>
        <w:t> </w:t>
      </w:r>
      <w:r>
        <w:rPr>
          <w:w w:val="105"/>
        </w:rPr>
        <w:t>running</w:t>
      </w:r>
      <w:r>
        <w:rPr>
          <w:spacing w:val="40"/>
          <w:w w:val="105"/>
        </w:rPr>
        <w:t> </w:t>
      </w:r>
      <w:r>
        <w:rPr>
          <w:w w:val="105"/>
        </w:rPr>
        <w:t>solo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staffing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small</w:t>
      </w:r>
      <w:r>
        <w:rPr>
          <w:spacing w:val="40"/>
          <w:w w:val="105"/>
        </w:rPr>
        <w:t> </w:t>
      </w:r>
      <w:r>
        <w:rPr>
          <w:w w:val="105"/>
        </w:rPr>
        <w:t>bench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subject</w:t>
      </w:r>
      <w:r>
        <w:rPr>
          <w:spacing w:val="40"/>
          <w:w w:val="105"/>
        </w:rPr>
        <w:t> </w:t>
      </w:r>
      <w:r>
        <w:rPr>
          <w:w w:val="105"/>
        </w:rPr>
        <w:t>experts.</w:t>
      </w:r>
    </w:p>
    <w:p>
      <w:pPr>
        <w:pStyle w:val="BodyText"/>
        <w:spacing w:before="6"/>
        <w:ind w:firstLine="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980" w:bottom="280" w:left="425" w:right="283"/>
        </w:sectPr>
      </w:pPr>
    </w:p>
    <w:p>
      <w:pPr>
        <w:pStyle w:val="BodyText"/>
        <w:spacing w:before="0"/>
        <w:ind w:firstLine="0"/>
        <w:rPr>
          <w:sz w:val="18"/>
        </w:rPr>
      </w:pPr>
    </w:p>
    <w:p>
      <w:pPr>
        <w:pStyle w:val="BodyText"/>
        <w:spacing w:before="81"/>
        <w:ind w:firstLine="0"/>
        <w:rPr>
          <w:sz w:val="18"/>
        </w:rPr>
      </w:pPr>
    </w:p>
    <w:p>
      <w:pPr>
        <w:spacing w:before="0"/>
        <w:ind w:left="95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-2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3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F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</w:t>
      </w:r>
      <w:r>
        <w:rPr>
          <w:b/>
          <w:color w:val="FFFFFF"/>
          <w:spacing w:val="-3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spacing w:val="-10"/>
          <w:w w:val="105"/>
          <w:sz w:val="18"/>
        </w:rPr>
        <w:t>N</w:t>
      </w:r>
    </w:p>
    <w:p>
      <w:pPr>
        <w:spacing w:before="75"/>
        <w:ind w:left="9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C5394"/>
          <w:sz w:val="18"/>
        </w:rPr>
        <w:t>P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R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O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F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E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S</w:t>
      </w:r>
      <w:r>
        <w:rPr>
          <w:b/>
          <w:color w:val="0C5394"/>
          <w:spacing w:val="-9"/>
          <w:sz w:val="18"/>
        </w:rPr>
        <w:t> </w:t>
      </w:r>
      <w:r>
        <w:rPr>
          <w:b/>
          <w:color w:val="0C5394"/>
          <w:sz w:val="18"/>
        </w:rPr>
        <w:t>S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I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O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N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A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L</w:t>
      </w:r>
      <w:r>
        <w:rPr>
          <w:b/>
          <w:color w:val="0C5394"/>
          <w:spacing w:val="58"/>
          <w:w w:val="150"/>
          <w:sz w:val="18"/>
        </w:rPr>
        <w:t> </w:t>
      </w:r>
      <w:r>
        <w:rPr>
          <w:b/>
          <w:color w:val="0C5394"/>
          <w:sz w:val="18"/>
        </w:rPr>
        <w:t>E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X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P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E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R</w:t>
      </w:r>
      <w:r>
        <w:rPr>
          <w:b/>
          <w:color w:val="0C5394"/>
          <w:spacing w:val="-9"/>
          <w:sz w:val="18"/>
        </w:rPr>
        <w:t> </w:t>
      </w:r>
      <w:r>
        <w:rPr>
          <w:b/>
          <w:color w:val="0C5394"/>
          <w:sz w:val="18"/>
        </w:rPr>
        <w:t>I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E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N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C</w:t>
      </w:r>
      <w:r>
        <w:rPr>
          <w:b/>
          <w:color w:val="0C5394"/>
          <w:spacing w:val="-10"/>
          <w:sz w:val="18"/>
        </w:rPr>
        <w:t> E</w:t>
      </w:r>
    </w:p>
    <w:p>
      <w:pPr>
        <w:spacing w:before="183"/>
        <w:ind w:left="95" w:right="0" w:firstLine="0"/>
        <w:jc w:val="left"/>
        <w:rPr>
          <w:sz w:val="18"/>
        </w:rPr>
      </w:pPr>
      <w:r>
        <w:rPr>
          <w:w w:val="105"/>
          <w:sz w:val="18"/>
        </w:rPr>
        <w:t>Principal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Consultant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(Independent)</w:t>
      </w:r>
    </w:p>
    <w:p>
      <w:pPr>
        <w:spacing w:before="48"/>
        <w:ind w:left="95" w:right="0" w:firstLine="0"/>
        <w:jc w:val="left"/>
        <w:rPr>
          <w:sz w:val="18"/>
        </w:rPr>
      </w:pPr>
      <w:r>
        <w:rPr>
          <w:w w:val="105"/>
          <w:sz w:val="18"/>
        </w:rPr>
        <w:t>Raman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Advisory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LLC,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Charlotte,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NC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2021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980" w:bottom="280" w:left="425" w:right="283"/>
          <w:cols w:num="2" w:equalWidth="0">
            <w:col w:w="3050" w:space="1191"/>
            <w:col w:w="6971"/>
          </w:cols>
        </w:sectPr>
      </w:pPr>
    </w:p>
    <w:p>
      <w:pPr>
        <w:spacing w:before="123"/>
        <w:ind w:left="9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(704)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555-</w:t>
      </w:r>
      <w:r>
        <w:rPr>
          <w:color w:val="FFFFFF"/>
          <w:spacing w:val="-4"/>
          <w:w w:val="105"/>
          <w:sz w:val="18"/>
        </w:rPr>
        <w:t>0142</w:t>
      </w:r>
    </w:p>
    <w:p>
      <w:pPr>
        <w:pStyle w:val="BodyText"/>
        <w:spacing w:before="171"/>
        <w:ind w:firstLine="0"/>
        <w:rPr>
          <w:sz w:val="18"/>
        </w:rPr>
      </w:pPr>
    </w:p>
    <w:p>
      <w:pPr>
        <w:spacing w:line="696" w:lineRule="auto" w:before="0"/>
        <w:ind w:left="969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priya.raman@example.com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Charlotte, NC 12345</w:t>
      </w:r>
    </w:p>
    <w:p>
      <w:pPr>
        <w:spacing w:before="59"/>
        <w:ind w:left="95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U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C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24"/>
          <w:sz w:val="18"/>
        </w:rPr>
        <w:t> </w:t>
      </w:r>
      <w:r>
        <w:rPr>
          <w:b/>
          <w:color w:val="FFFFFF"/>
          <w:sz w:val="18"/>
        </w:rPr>
        <w:t>T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10"/>
          <w:sz w:val="18"/>
        </w:rPr>
        <w:t>N</w:t>
      </w:r>
    </w:p>
    <w:p>
      <w:pPr>
        <w:spacing w:line="295" w:lineRule="auto" w:before="198"/>
        <w:ind w:left="281" w:right="63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MBA, Strategy and Finance, UNC Kenan-Flagler Business School, </w:t>
      </w:r>
      <w:r>
        <w:rPr>
          <w:b/>
          <w:color w:val="FFFFFF"/>
          <w:spacing w:val="-4"/>
          <w:w w:val="105"/>
          <w:sz w:val="18"/>
        </w:rPr>
        <w:t>2018</w:t>
      </w:r>
    </w:p>
    <w:p>
      <w:pPr>
        <w:spacing w:line="295" w:lineRule="auto" w:before="182"/>
        <w:ind w:left="281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B.S. Industrial Engineering, Georgia Institute of Technology, </w:t>
      </w:r>
      <w:r>
        <w:rPr>
          <w:b/>
          <w:color w:val="FFFFFF"/>
          <w:spacing w:val="-4"/>
          <w:w w:val="105"/>
          <w:sz w:val="18"/>
        </w:rPr>
        <w:t>2014</w:t>
      </w:r>
    </w:p>
    <w:p>
      <w:pPr>
        <w:pStyle w:val="BodyText"/>
        <w:spacing w:before="64"/>
        <w:ind w:firstLine="0"/>
        <w:rPr>
          <w:b/>
          <w:sz w:val="18"/>
        </w:rPr>
      </w:pPr>
    </w:p>
    <w:p>
      <w:pPr>
        <w:spacing w:before="0"/>
        <w:ind w:left="95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K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E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Y</w:t>
      </w:r>
      <w:r>
        <w:rPr>
          <w:b/>
          <w:color w:val="FFFFFF"/>
          <w:spacing w:val="51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K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L</w:t>
      </w:r>
      <w:r>
        <w:rPr>
          <w:b/>
          <w:color w:val="FFFFFF"/>
          <w:spacing w:val="-1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L</w:t>
      </w:r>
      <w:r>
        <w:rPr>
          <w:b/>
          <w:color w:val="FFFFFF"/>
          <w:spacing w:val="-15"/>
          <w:w w:val="105"/>
          <w:sz w:val="18"/>
        </w:rPr>
        <w:t> </w:t>
      </w:r>
      <w:r>
        <w:rPr>
          <w:b/>
          <w:color w:val="FFFFFF"/>
          <w:spacing w:val="-10"/>
          <w:w w:val="105"/>
          <w:sz w:val="18"/>
        </w:rPr>
        <w:t>S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204" w:lineRule="auto" w:before="147" w:after="0"/>
        <w:ind w:left="616" w:right="18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6"/>
        </w:rPr>
        <w:t>Led 14 engagements for PE-backed industrials clients ($40M-$320M revenue),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averaging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$187K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engagement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repeat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sponsors.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96" w:after="0"/>
        <w:ind w:left="616" w:right="615" w:hanging="298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100-day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carve-outs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covering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org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design,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TSA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exit,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 working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capital,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hitting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EBITDA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targets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quarters.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112" w:after="0"/>
        <w:ind w:left="616" w:right="15" w:hanging="298"/>
        <w:jc w:val="left"/>
        <w:rPr>
          <w:position w:val="-5"/>
          <w:sz w:val="31"/>
        </w:rPr>
      </w:pPr>
      <w:r>
        <w:rPr>
          <w:w w:val="105"/>
          <w:sz w:val="16"/>
        </w:rPr>
        <w:t>Ran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commercial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due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diligence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specialty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distribution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target;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flagged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channel concentration risk that reshaped the LOI terms.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97" w:after="0"/>
        <w:ind w:left="616" w:right="348" w:hanging="298"/>
        <w:jc w:val="left"/>
        <w:rPr>
          <w:position w:val="-5"/>
          <w:sz w:val="31"/>
        </w:rPr>
      </w:pPr>
      <w:r>
        <w:rPr>
          <w:w w:val="105"/>
          <w:sz w:val="16"/>
        </w:rPr>
        <w:t>Replaced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Big-4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procurement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redesign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delivered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category savings of 7-9% across indirect spend.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112" w:after="0"/>
        <w:ind w:left="616" w:right="0" w:hanging="298"/>
        <w:jc w:val="left"/>
        <w:rPr>
          <w:position w:val="-5"/>
          <w:sz w:val="31"/>
        </w:rPr>
      </w:pPr>
      <w:r>
        <w:rPr>
          <w:w w:val="105"/>
          <w:sz w:val="16"/>
        </w:rPr>
        <w:t>Wrote and sold three follow-on SOWs by tying recommendations to operator KPIs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the CEO already tracked.</w:t>
      </w:r>
    </w:p>
    <w:p>
      <w:pPr>
        <w:pStyle w:val="BodyText"/>
        <w:spacing w:before="83"/>
        <w:ind w:firstLine="0"/>
      </w:pPr>
    </w:p>
    <w:p>
      <w:pPr>
        <w:spacing w:before="0"/>
        <w:ind w:left="95" w:right="0" w:firstLine="0"/>
        <w:jc w:val="left"/>
        <w:rPr>
          <w:sz w:val="18"/>
        </w:rPr>
      </w:pPr>
      <w:r>
        <w:rPr>
          <w:w w:val="105"/>
          <w:sz w:val="18"/>
        </w:rPr>
        <w:t>Senior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Consultant</w:t>
      </w:r>
    </w:p>
    <w:p>
      <w:pPr>
        <w:spacing w:before="48"/>
        <w:ind w:left="95" w:right="0" w:firstLine="0"/>
        <w:jc w:val="left"/>
        <w:rPr>
          <w:sz w:val="18"/>
        </w:rPr>
      </w:pPr>
      <w:r>
        <w:rPr>
          <w:w w:val="105"/>
          <w:sz w:val="18"/>
        </w:rPr>
        <w:t>Halverson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Strategy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Group,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Charlotte,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NC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2018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10"/>
          <w:w w:val="105"/>
          <w:sz w:val="18"/>
        </w:rPr>
        <w:t> </w:t>
      </w:r>
      <w:r>
        <w:rPr>
          <w:spacing w:val="-4"/>
          <w:w w:val="105"/>
          <w:sz w:val="18"/>
        </w:rPr>
        <w:t>2021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162" w:after="0"/>
        <w:ind w:left="616" w:right="492" w:hanging="298"/>
        <w:jc w:val="left"/>
        <w:rPr>
          <w:position w:val="-5"/>
          <w:sz w:val="31"/>
        </w:rPr>
      </w:pPr>
      <w:r>
        <w:rPr>
          <w:w w:val="105"/>
          <w:sz w:val="16"/>
        </w:rPr>
        <w:t>Owned workstreams on cost transformation projects for two regional health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systems; coached a team of three analysts.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97" w:after="0"/>
        <w:ind w:left="616" w:right="75" w:hanging="298"/>
        <w:jc w:val="left"/>
        <w:rPr>
          <w:position w:val="-5"/>
          <w:sz w:val="31"/>
        </w:rPr>
      </w:pPr>
      <w:r>
        <w:rPr>
          <w:w w:val="105"/>
          <w:sz w:val="16"/>
        </w:rPr>
        <w:t>Modeled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labor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productivity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gaps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lines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turned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analysis into a board-ready savings roadmap.</w:t>
      </w:r>
    </w:p>
    <w:p>
      <w:pPr>
        <w:pStyle w:val="ListParagraph"/>
        <w:spacing w:after="0" w:line="196" w:lineRule="auto"/>
        <w:jc w:val="left"/>
        <w:rPr>
          <w:position w:val="-5"/>
          <w:sz w:val="31"/>
        </w:rPr>
        <w:sectPr>
          <w:type w:val="continuous"/>
          <w:pgSz w:w="11920" w:h="16860"/>
          <w:pgMar w:top="980" w:bottom="280" w:left="425" w:right="283"/>
          <w:cols w:num="2" w:equalWidth="0">
            <w:col w:w="3367" w:space="873"/>
            <w:col w:w="6972"/>
          </w:cols>
        </w:sectPr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51" w:lineRule="exact" w:before="31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5950" y="1485900"/>
                            <a:ext cx="4762500" cy="921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9218930">
                                <a:moveTo>
                                  <a:pt x="0" y="9218675"/>
                                </a:moveTo>
                                <a:lnTo>
                                  <a:pt x="4762233" y="9218675"/>
                                </a:lnTo>
                                <a:lnTo>
                                  <a:pt x="4762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606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065" h="9295130">
                                <a:moveTo>
                                  <a:pt x="0" y="9294875"/>
                                </a:moveTo>
                                <a:lnTo>
                                  <a:pt x="2805950" y="9294875"/>
                                </a:lnTo>
                                <a:lnTo>
                                  <a:pt x="2805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85750"/>
                            <a:ext cx="2238374" cy="2238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47674" y="31432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19449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47674" y="35242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568" y="3600450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47674" y="38957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43" y="397192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809874" y="0"/>
                            <a:ext cx="475869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485900">
                                <a:moveTo>
                                  <a:pt x="4758308" y="1485899"/>
                                </a:moveTo>
                                <a:lnTo>
                                  <a:pt x="0" y="14858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485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19424" y="1457324"/>
                            <a:ext cx="42481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0" h="28575">
                                <a:moveTo>
                                  <a:pt x="42481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48149" y="0"/>
                                </a:lnTo>
                                <a:lnTo>
                                  <a:pt x="42481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2782" y="265518"/>
                            <a:ext cx="2290445" cy="229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0445" h="2290445">
                                <a:moveTo>
                                  <a:pt x="1144982" y="0"/>
                                </a:moveTo>
                                <a:lnTo>
                                  <a:pt x="2289965" y="1144982"/>
                                </a:lnTo>
                                <a:lnTo>
                                  <a:pt x="1144982" y="2289965"/>
                                </a:lnTo>
                                <a:lnTo>
                                  <a:pt x="0" y="1144982"/>
                                </a:lnTo>
                                <a:lnTo>
                                  <a:pt x="1144982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5pt;width:595.950pt;height:842.9pt;mso-position-horizontal-relative:page;mso-position-vertical-relative:page;z-index:-15775744" id="docshapegroup1" coordorigin="0,0" coordsize="11919,16858">
                <v:rect style="position:absolute;left:4418;top:2340;width:7500;height:14518" id="docshape2" filled="true" fillcolor="#f5f5f5" stroked="false">
                  <v:fill type="solid"/>
                </v:rect>
                <v:rect style="position:absolute;left:0;top:2220;width:4419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50;top:450;width:3525;height:3525" type="#_x0000_t75" id="docshape5" stroked="false">
                  <v:imagedata r:id="rId6" o:title=""/>
                </v:shape>
                <v:shape style="position:absolute;left:705;top:4950;width:525;height:525" id="docshape6" coordorigin="705,4950" coordsize="525,525" path="m965,5475l902,5467,843,5444,791,5408,749,5359,720,5302,706,5240,705,5215,705,5198,716,5135,742,5077,781,5026,832,4987,890,4961,953,4950,970,4950,982,4950,1045,4961,1103,4987,1154,5026,1193,5077,1219,5135,1230,5198,1230,5215,1230,5227,1219,5290,1193,5348,1154,5399,1103,5438,1045,5464,982,5475,965,5475xe" filled="true" fillcolor="#e78f37" stroked="false">
                  <v:path arrowok="t"/>
                  <v:fill type="solid"/>
                </v:shape>
                <v:shape style="position:absolute;left:825;top:5070;width:279;height:279" type="#_x0000_t75" id="docshape7" stroked="false">
                  <v:imagedata r:id="rId7" o:title=""/>
                </v:shape>
                <v:shape style="position:absolute;left:705;top:5550;width:525;height:510" id="docshape8" coordorigin="705,5550" coordsize="525,510" path="m975,6060l960,6060,947,6060,886,6049,829,6024,780,5985,741,5936,716,5879,705,5818,705,5805,705,5792,716,5731,741,5674,780,5625,829,5586,886,5561,947,5550,960,5550,975,5550,1037,5558,1095,5580,1146,5616,1187,5663,1215,5719,1229,5780,1230,5805,1230,5818,1219,5879,1194,5936,1155,5985,1106,6024,1049,6049,988,6060,975,6060xe" filled="true" fillcolor="#e78f37" stroked="false">
                  <v:path arrowok="t"/>
                  <v:fill type="solid"/>
                </v:shape>
                <v:shape style="position:absolute;left:843;top:5670;width:243;height:270" type="#_x0000_t75" id="docshape9" stroked="false">
                  <v:imagedata r:id="rId8" o:title=""/>
                </v:shape>
                <v:shape style="position:absolute;left:705;top:6135;width:525;height:525" id="docshape10" coordorigin="705,6135" coordsize="525,525" path="m965,6660l902,6652,843,6629,791,6593,749,6544,720,6487,706,6425,705,6400,705,6383,716,6320,742,6262,781,6211,832,6172,890,6146,953,6135,970,6135,982,6135,1045,6146,1103,6172,1154,6211,1193,6262,1219,6320,1230,6383,1230,6400,1230,6412,1219,6475,1193,6533,1154,6584,1103,6623,1045,6649,982,6660,965,6660xe" filled="true" fillcolor="#e78f37" stroked="false">
                  <v:path arrowok="t"/>
                  <v:fill type="solid"/>
                </v:shape>
                <v:shape style="position:absolute;left:825;top:6255;width:278;height:279" type="#_x0000_t75" id="docshape11" stroked="false">
                  <v:imagedata r:id="rId9" o:title=""/>
                </v:shape>
                <v:rect style="position:absolute;left:4425;top:0;width:7494;height:2340" id="docshape12" filled="true" fillcolor="#ffffff" stroked="false">
                  <v:fill type="solid"/>
                </v:rect>
                <v:rect style="position:absolute;left:4755;top:2295;width:6690;height:45" id="docshape13" filled="true" fillcolor="#e78f37" stroked="false">
                  <v:fill type="solid"/>
                </v:rect>
                <v:shape style="position:absolute;left:413;top:418;width:3607;height:3607" id="docshape14" coordorigin="414,418" coordsize="3607,3607" path="m2217,418l4020,2221,2217,4024,414,2221,2217,418xe" filled="false" stroked="true" strokeweight="3.0pt" strokecolor="#f5f5f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  <w:sz w:val="18"/>
        </w:rPr>
        <w:t>Commercial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due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diligence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45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2"/>
          <w:sz w:val="18"/>
        </w:rPr>
        <w:t>Post-merger</w:t>
      </w:r>
      <w:r>
        <w:rPr>
          <w:color w:val="FFFFFF"/>
          <w:spacing w:val="46"/>
          <w:sz w:val="18"/>
        </w:rPr>
        <w:t> </w:t>
      </w:r>
      <w:r>
        <w:rPr>
          <w:color w:val="FFFFFF"/>
          <w:spacing w:val="-2"/>
          <w:sz w:val="18"/>
        </w:rPr>
        <w:t>integration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45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Cost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transformation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45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Operating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model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45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Pricing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strategy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9" w:val="left" w:leader="none"/>
        </w:tabs>
        <w:spacing w:line="216" w:lineRule="auto" w:before="18" w:after="0"/>
        <w:ind w:left="579" w:right="41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Financial modeling (Excel, Power Query)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51" w:lineRule="exact" w:before="69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Tableau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1"/>
          <w:w w:val="105"/>
          <w:sz w:val="18"/>
        </w:rPr>
        <w:t> </w:t>
      </w:r>
      <w:r>
        <w:rPr>
          <w:color w:val="FFFFFF"/>
          <w:w w:val="105"/>
          <w:sz w:val="18"/>
        </w:rPr>
        <w:t>Power</w:t>
      </w:r>
      <w:r>
        <w:rPr>
          <w:color w:val="FFFFFF"/>
          <w:spacing w:val="2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BI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45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Executive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w w:val="105"/>
          <w:sz w:val="18"/>
        </w:rPr>
        <w:t>workshop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facilitation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51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SOW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scoping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pricing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9" w:val="left" w:leader="none"/>
        </w:tabs>
        <w:spacing w:line="196" w:lineRule="auto" w:before="112" w:after="0"/>
        <w:ind w:left="579" w:right="219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Co-led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refresh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SaaS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lifted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ACV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mid-market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tier by roughly 12%.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9" w:val="left" w:leader="none"/>
        </w:tabs>
        <w:spacing w:line="208" w:lineRule="auto" w:before="85" w:after="0"/>
        <w:ind w:left="579" w:right="254" w:hanging="298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firm's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internal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template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synergy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tracking,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later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adopted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six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PMI </w:t>
      </w:r>
      <w:r>
        <w:rPr>
          <w:spacing w:val="-2"/>
          <w:w w:val="105"/>
          <w:sz w:val="16"/>
        </w:rPr>
        <w:t>engagements.</w:t>
      </w:r>
    </w:p>
    <w:sectPr>
      <w:type w:val="continuous"/>
      <w:pgSz w:w="11920" w:h="16860"/>
      <w:pgMar w:top="980" w:bottom="280" w:left="425" w:right="283"/>
      <w:cols w:num="2" w:equalWidth="0">
        <w:col w:w="3262" w:space="1016"/>
        <w:col w:w="69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1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2"/>
      <w:ind w:hanging="298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2026-06-29T20:04:02Z</dcterms:created>
  <dcterms:modified xsi:type="dcterms:W3CDTF">2026-06-29T20:04:02Z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