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3610" w:right="0" w:firstLine="0"/>
        <w:jc w:val="center"/>
        <w:rPr>
          <w:sz w:val="87"/>
        </w:rPr>
      </w:pPr>
      <w:r>
        <w:rPr>
          <w:color w:val="FF7E7E"/>
          <w:spacing w:val="-2"/>
          <w:sz w:val="87"/>
        </w:rPr>
        <w:t>PRIYA</w:t>
      </w:r>
    </w:p>
    <w:p>
      <w:pPr>
        <w:spacing w:before="19"/>
        <w:ind w:left="3610" w:right="0" w:firstLine="0"/>
        <w:jc w:val="center"/>
        <w:rPr>
          <w:sz w:val="87"/>
        </w:rPr>
      </w:pPr>
      <w:r>
        <w:rPr>
          <w:color w:val="646464"/>
          <w:spacing w:val="-2"/>
          <w:sz w:val="87"/>
        </w:rPr>
        <w:t>BHATTACHARYA</w:t>
      </w:r>
    </w:p>
    <w:p>
      <w:pPr>
        <w:spacing w:before="146"/>
        <w:ind w:left="3610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2162174</wp:posOffset>
                </wp:positionH>
                <wp:positionV relativeFrom="paragraph">
                  <wp:posOffset>388124</wp:posOffset>
                </wp:positionV>
                <wp:extent cx="5406390" cy="8191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819150"/>
                        </a:xfrm>
                        <a:prstGeom prst="rect">
                          <a:avLst/>
                        </a:prstGeom>
                        <a:solidFill>
                          <a:srgbClr val="FF7E7E"/>
                        </a:solidFill>
                      </wps:spPr>
                      <wps:txbx>
                        <w:txbxContent>
                          <w:p>
                            <w:pPr>
                              <w:spacing w:line="290" w:lineRule="auto" w:before="172"/>
                              <w:ind w:left="797" w:right="511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LCSW with ﬁve years in outpatient and integrated primary care settings.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Strong background in trauma treatment for adult survivors of IPV, plus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warm-handoff models with PCPs. Bilingual in English and Hindi.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30.560997pt;width:425.7pt;height:64.5pt;mso-position-horizontal-relative:page;mso-position-vertical-relative:paragraph;z-index:15729664" type="#_x0000_t202" id="docshape1" filled="true" fillcolor="#ff7e7e" stroked="false">
                <v:textbox inset="0,0,0,0">
                  <w:txbxContent>
                    <w:p>
                      <w:pPr>
                        <w:spacing w:line="290" w:lineRule="auto" w:before="172"/>
                        <w:ind w:left="797" w:right="511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LCSW with ﬁve years in outpatient and integrated primary care settings.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Strong background in trauma treatment for adult survivors of IPV, plus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warm-handoff models with PCPs. Bilingual in English and Hindi.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7E7E"/>
          <w:spacing w:val="-4"/>
          <w:sz w:val="24"/>
        </w:rPr>
        <w:t>LCSW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0"/>
        </w:sectPr>
      </w:pPr>
    </w:p>
    <w:p>
      <w:pPr>
        <w:pStyle w:val="Heading1"/>
        <w:spacing w:line="256" w:lineRule="auto" w:before="52"/>
      </w:pPr>
      <w:r>
        <w:rPr>
          <w:color w:val="FF7E7E"/>
          <w:spacing w:val="-2"/>
        </w:rPr>
        <w:t>CONTACT </w:t>
      </w:r>
      <w:r>
        <w:rPr>
          <w:color w:val="FF7E7E"/>
          <w:spacing w:val="-4"/>
        </w:rPr>
        <w:t>INFORMATION</w:t>
      </w:r>
    </w:p>
    <w:p>
      <w:pPr>
        <w:spacing w:before="226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(505)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0167</w:t>
      </w:r>
    </w:p>
    <w:p>
      <w:pPr>
        <w:spacing w:before="190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priya.b@example.com</w:t>
        </w:r>
      </w:hyperlink>
    </w:p>
    <w:p>
      <w:pPr>
        <w:pStyle w:val="BodyText"/>
        <w:spacing w:before="180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</w:pPr>
      <w:r>
        <w:rPr>
          <w:color w:val="FF7E7E"/>
          <w:spacing w:val="-4"/>
        </w:rPr>
        <w:t>PROFESSIONAL</w:t>
      </w:r>
      <w:r>
        <w:rPr>
          <w:color w:val="FF7E7E"/>
          <w:spacing w:val="4"/>
        </w:rPr>
        <w:t> </w:t>
      </w:r>
      <w:r>
        <w:rPr>
          <w:color w:val="FF7E7E"/>
          <w:spacing w:val="-2"/>
        </w:rPr>
        <w:t>EXPERIENCE</w:t>
      </w:r>
    </w:p>
    <w:p>
      <w:pPr>
        <w:spacing w:line="266" w:lineRule="auto" w:before="173"/>
        <w:ind w:left="108" w:right="383" w:firstLine="0"/>
        <w:jc w:val="left"/>
        <w:rPr>
          <w:sz w:val="20"/>
        </w:rPr>
      </w:pPr>
      <w:r>
        <w:rPr>
          <w:sz w:val="20"/>
        </w:rPr>
        <w:t>Behavioral Health Consultant </w:t>
      </w:r>
      <w:r>
        <w:rPr>
          <w:color w:val="134E5C"/>
          <w:sz w:val="20"/>
        </w:rPr>
        <w:t>| Mesa Verde Community Health, Albuquerque, </w:t>
      </w:r>
      <w:r>
        <w:rPr>
          <w:color w:val="134E5C"/>
          <w:spacing w:val="-6"/>
          <w:w w:val="105"/>
          <w:sz w:val="20"/>
        </w:rPr>
        <w:t>NM</w:t>
      </w:r>
    </w:p>
    <w:p>
      <w:pPr>
        <w:pStyle w:val="BodyText"/>
        <w:spacing w:before="4"/>
        <w:ind w:left="108"/>
      </w:pPr>
      <w:r>
        <w:rPr>
          <w:color w:val="134E5C"/>
          <w:w w:val="105"/>
        </w:rPr>
        <w:t>February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2022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2818" w:space="1200"/>
            <w:col w:w="7619"/>
          </w:cols>
        </w:sectPr>
      </w:pPr>
    </w:p>
    <w:p>
      <w:pPr>
        <w:spacing w:line="439" w:lineRule="auto" w:before="104"/>
        <w:ind w:left="7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2482436</wp:posOffset>
                </wp:positionH>
                <wp:positionV relativeFrom="paragraph">
                  <wp:posOffset>85287</wp:posOffset>
                </wp:positionV>
                <wp:extent cx="137160" cy="130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34E5C"/>
                                <w:spacing w:val="-5"/>
                                <w:sz w:val="20"/>
                              </w:rPr>
                              <w:t>ya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467453pt;margin-top:6.715514pt;width:10.8pt;height:10.25pt;mso-position-horizontal-relative:page;mso-position-vertical-relative:paragraph;z-index:-15783424" type="#_x0000_t202" id="docshape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34E5C"/>
                          <w:spacing w:val="-5"/>
                          <w:sz w:val="20"/>
                        </w:rPr>
                        <w:t>ya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4E5C"/>
          <w:spacing w:val="-2"/>
          <w:sz w:val="20"/>
        </w:rPr>
        <w:t>Linkedin.com/in/priyabhattachar </w:t>
      </w:r>
      <w:r>
        <w:rPr>
          <w:color w:val="134E5C"/>
          <w:sz w:val="20"/>
        </w:rPr>
        <w:t>Albuquerque, NM</w:t>
      </w:r>
    </w:p>
    <w:p>
      <w:pPr>
        <w:pStyle w:val="BodyText"/>
        <w:spacing w:before="203"/>
        <w:ind w:left="0"/>
        <w:rPr>
          <w:sz w:val="20"/>
        </w:rPr>
      </w:pPr>
    </w:p>
    <w:p>
      <w:pPr>
        <w:pStyle w:val="Heading1"/>
      </w:pPr>
      <w:r>
        <w:rPr>
          <w:color w:val="FF7E7E"/>
        </w:rPr>
        <w:t>KEY</w:t>
      </w:r>
      <w:r>
        <w:rPr>
          <w:color w:val="FF7E7E"/>
          <w:spacing w:val="-14"/>
        </w:rPr>
        <w:t> </w:t>
      </w:r>
      <w:r>
        <w:rPr>
          <w:color w:val="FF7E7E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  <w:tab w:pos="457" w:val="left" w:leader="none"/>
        </w:tabs>
        <w:spacing w:line="278" w:lineRule="auto" w:before="138" w:after="0"/>
        <w:ind w:left="457" w:right="855" w:hanging="350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Embedded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primary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care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pods,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completing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18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24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warm-handoff visits weekly for depression, anxiety, and chronic pain coping.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90" w:after="0"/>
        <w:ind w:left="406" w:right="813" w:hanging="298"/>
        <w:jc w:val="left"/>
        <w:rPr>
          <w:sz w:val="18"/>
        </w:rPr>
      </w:pPr>
      <w:r>
        <w:rPr>
          <w:color w:val="134E5C"/>
          <w:w w:val="105"/>
          <w:sz w:val="18"/>
        </w:rPr>
        <w:t>Built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brief-intervention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protocol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moved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138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patients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screening positive on PHQ-9 to engaged in care within 30 days.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3" w:after="0"/>
        <w:ind w:left="406" w:right="748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Co-lead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monthly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case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conferences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PCPs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RNs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align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shared patients with complex psychosocial needs.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0"/>
          <w:cols w:num="2" w:equalWidth="0">
            <w:col w:w="3667" w:space="704"/>
            <w:col w:w="7266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65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TF-CBT</w:t>
      </w:r>
      <w:r>
        <w:rPr>
          <w:color w:val="134E5C"/>
          <w:spacing w:val="1"/>
          <w:sz w:val="18"/>
        </w:rPr>
        <w:t> </w:t>
      </w:r>
      <w:r>
        <w:rPr>
          <w:color w:val="134E5C"/>
          <w:sz w:val="18"/>
        </w:rPr>
        <w:t>and</w:t>
      </w:r>
      <w:r>
        <w:rPr>
          <w:color w:val="134E5C"/>
          <w:spacing w:val="2"/>
          <w:sz w:val="18"/>
        </w:rPr>
        <w:t> </w:t>
      </w:r>
      <w:r>
        <w:rPr>
          <w:color w:val="134E5C"/>
          <w:spacing w:val="-4"/>
          <w:sz w:val="18"/>
        </w:rPr>
        <w:t>EMDR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80" w:after="0"/>
        <w:ind w:left="591" w:right="0" w:hanging="297"/>
        <w:jc w:val="left"/>
        <w:rPr>
          <w:position w:val="1"/>
          <w:sz w:val="18"/>
        </w:rPr>
      </w:pPr>
      <w:r>
        <w:rPr/>
        <w:br w:type="column"/>
      </w:r>
      <w:r>
        <w:rPr>
          <w:color w:val="134E5C"/>
          <w:spacing w:val="-2"/>
          <w:w w:val="105"/>
          <w:position w:val="1"/>
          <w:sz w:val="18"/>
        </w:rPr>
        <w:t>Precept one</w:t>
      </w:r>
      <w:r>
        <w:rPr>
          <w:color w:val="134E5C"/>
          <w:spacing w:val="-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LMSW</w:t>
      </w:r>
      <w:r>
        <w:rPr>
          <w:color w:val="134E5C"/>
          <w:spacing w:val="-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associate weekly</w:t>
      </w:r>
      <w:r>
        <w:rPr>
          <w:color w:val="134E5C"/>
          <w:spacing w:val="-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toward</w:t>
      </w:r>
      <w:r>
        <w:rPr>
          <w:color w:val="134E5C"/>
          <w:spacing w:val="-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independent licensure</w:t>
      </w:r>
      <w:r>
        <w:rPr>
          <w:color w:val="134E5C"/>
          <w:spacing w:val="-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hours.</w:t>
      </w:r>
    </w:p>
    <w:p>
      <w:pPr>
        <w:pStyle w:val="ListParagraph"/>
        <w:spacing w:after="0" w:line="240" w:lineRule="auto"/>
        <w:jc w:val="left"/>
        <w:rPr>
          <w:position w:val="1"/>
          <w:sz w:val="18"/>
        </w:rPr>
        <w:sectPr>
          <w:type w:val="continuous"/>
          <w:pgSz w:w="11920" w:h="16860"/>
          <w:pgMar w:top="800" w:bottom="280" w:left="283" w:right="0"/>
          <w:cols w:num="2" w:equalWidth="0">
            <w:col w:w="2213" w:space="1972"/>
            <w:col w:w="7452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sz w:val="18"/>
        </w:rPr>
        <w:t>Integrated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primary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care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/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warm </w:t>
      </w:r>
      <w:r>
        <w:rPr>
          <w:color w:val="134E5C"/>
          <w:spacing w:val="-2"/>
          <w:w w:val="105"/>
          <w:sz w:val="18"/>
        </w:rPr>
        <w:t>handoffs</w:t>
      </w:r>
    </w:p>
    <w:p>
      <w:pPr>
        <w:spacing w:before="74"/>
        <w:ind w:left="29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Trauma</w:t>
      </w:r>
      <w:r>
        <w:rPr>
          <w:spacing w:val="1"/>
          <w:sz w:val="20"/>
        </w:rPr>
        <w:t> </w:t>
      </w:r>
      <w:r>
        <w:rPr>
          <w:sz w:val="20"/>
        </w:rPr>
        <w:t>Therapist</w:t>
      </w:r>
      <w:r>
        <w:rPr>
          <w:spacing w:val="6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Sage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Hollow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Counseling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Collective,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Santa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Fe,</w:t>
      </w:r>
      <w:r>
        <w:rPr>
          <w:color w:val="134E5C"/>
          <w:spacing w:val="6"/>
          <w:sz w:val="20"/>
        </w:rPr>
        <w:t> </w:t>
      </w:r>
      <w:r>
        <w:rPr>
          <w:color w:val="134E5C"/>
          <w:spacing w:val="-5"/>
          <w:sz w:val="20"/>
        </w:rPr>
        <w:t>NM</w:t>
      </w:r>
    </w:p>
    <w:p>
      <w:pPr>
        <w:pStyle w:val="BodyText"/>
        <w:spacing w:before="29"/>
        <w:ind w:left="294"/>
      </w:pPr>
      <w:r>
        <w:rPr>
          <w:color w:val="134E5C"/>
          <w:w w:val="105"/>
        </w:rPr>
        <w:t>June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2020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3207" w:space="624"/>
            <w:col w:w="7806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80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Adult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trauma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IPV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treatment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8" w:after="0"/>
        <w:ind w:left="591" w:right="633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Court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letter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forensic </w:t>
      </w:r>
      <w:r>
        <w:rPr>
          <w:color w:val="134E5C"/>
          <w:spacing w:val="-2"/>
          <w:w w:val="105"/>
          <w:sz w:val="18"/>
        </w:rPr>
        <w:t>documentation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90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PHQ-9,</w:t>
      </w:r>
      <w:r>
        <w:rPr>
          <w:color w:val="134E5C"/>
          <w:spacing w:val="7"/>
          <w:sz w:val="18"/>
        </w:rPr>
        <w:t> </w:t>
      </w:r>
      <w:r>
        <w:rPr>
          <w:color w:val="134E5C"/>
          <w:sz w:val="18"/>
        </w:rPr>
        <w:t>GAD-7,</w:t>
      </w:r>
      <w:r>
        <w:rPr>
          <w:color w:val="134E5C"/>
          <w:spacing w:val="7"/>
          <w:sz w:val="18"/>
        </w:rPr>
        <w:t> </w:t>
      </w:r>
      <w:r>
        <w:rPr>
          <w:color w:val="134E5C"/>
          <w:sz w:val="18"/>
        </w:rPr>
        <w:t>PCL-</w:t>
      </w:r>
      <w:r>
        <w:rPr>
          <w:color w:val="134E5C"/>
          <w:spacing w:val="-10"/>
          <w:sz w:val="18"/>
        </w:rPr>
        <w:t>5</w:t>
      </w:r>
    </w:p>
    <w:p>
      <w:pPr>
        <w:pStyle w:val="BodyText"/>
        <w:spacing w:before="18"/>
      </w:pPr>
      <w:r>
        <w:rPr>
          <w:color w:val="134E5C"/>
          <w:spacing w:val="-2"/>
          <w:w w:val="105"/>
        </w:rPr>
        <w:t>screening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23" w:after="0"/>
        <w:ind w:left="591" w:right="375" w:hanging="298"/>
        <w:jc w:val="left"/>
        <w:rPr>
          <w:sz w:val="18"/>
        </w:rPr>
      </w:pPr>
      <w:r>
        <w:rPr>
          <w:color w:val="134E5C"/>
          <w:w w:val="105"/>
          <w:sz w:val="18"/>
        </w:rPr>
        <w:t>SimplePractice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Athena </w:t>
      </w:r>
      <w:r>
        <w:rPr>
          <w:color w:val="134E5C"/>
          <w:spacing w:val="-4"/>
          <w:w w:val="105"/>
          <w:sz w:val="18"/>
        </w:rPr>
        <w:t>EHR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75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LMSW</w:t>
      </w:r>
      <w:r>
        <w:rPr>
          <w:color w:val="134E5C"/>
          <w:spacing w:val="-7"/>
          <w:sz w:val="18"/>
        </w:rPr>
        <w:t> </w:t>
      </w:r>
      <w:r>
        <w:rPr>
          <w:color w:val="134E5C"/>
          <w:spacing w:val="-2"/>
          <w:sz w:val="18"/>
        </w:rPr>
        <w:t>supervision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75" w:after="0"/>
        <w:ind w:left="591" w:right="700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Maintained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caseload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28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32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weekly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clients,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primarily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adult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survivors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of intimate partner violence and childhood trauma.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4" w:after="0"/>
        <w:ind w:left="591" w:right="646" w:hanging="298"/>
        <w:jc w:val="left"/>
        <w:rPr>
          <w:sz w:val="18"/>
        </w:rPr>
      </w:pPr>
      <w:r>
        <w:rPr>
          <w:color w:val="134E5C"/>
          <w:w w:val="105"/>
          <w:sz w:val="18"/>
        </w:rPr>
        <w:t>Trained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TF-CBT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EMDR;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completed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phase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work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40+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clients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over two years.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89" w:after="0"/>
        <w:ind w:left="591" w:right="597" w:hanging="298"/>
        <w:jc w:val="left"/>
        <w:rPr>
          <w:sz w:val="18"/>
        </w:rPr>
      </w:pPr>
      <w:r>
        <w:rPr>
          <w:color w:val="134E5C"/>
          <w:w w:val="105"/>
          <w:sz w:val="18"/>
        </w:rPr>
        <w:t>Wrote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court-ready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clinical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letters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provided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depositions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family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law </w:t>
      </w:r>
      <w:r>
        <w:rPr>
          <w:color w:val="134E5C"/>
          <w:spacing w:val="-2"/>
          <w:w w:val="105"/>
          <w:sz w:val="18"/>
        </w:rPr>
        <w:t>cases.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4" w:after="0"/>
        <w:ind w:left="591" w:right="496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Reduced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personal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documentation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backlog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9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days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under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48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hours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by switching to a structured template in SimplePractice.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0"/>
          <w:cols w:num="2" w:equalWidth="0">
            <w:col w:w="3232" w:space="953"/>
            <w:col w:w="7452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Hindi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clinical</w:t>
      </w:r>
      <w:r>
        <w:rPr>
          <w:color w:val="134E5C"/>
          <w:spacing w:val="-2"/>
          <w:w w:val="105"/>
          <w:sz w:val="18"/>
        </w:rPr>
        <w:t> interviewing</w:t>
      </w:r>
    </w:p>
    <w:p>
      <w:pPr>
        <w:pStyle w:val="Heading1"/>
        <w:spacing w:before="89"/>
        <w:ind w:left="294"/>
      </w:pPr>
      <w:r>
        <w:rPr/>
        <w:br w:type="column"/>
      </w:r>
      <w:r>
        <w:rPr>
          <w:color w:val="FF7E7E"/>
          <w:spacing w:val="-2"/>
        </w:rPr>
        <w:t>EDUCATION</w:t>
      </w:r>
    </w:p>
    <w:p>
      <w:pPr>
        <w:spacing w:before="188"/>
        <w:ind w:left="294" w:right="0" w:firstLine="0"/>
        <w:jc w:val="left"/>
        <w:rPr>
          <w:sz w:val="20"/>
        </w:rPr>
      </w:pPr>
      <w:r>
        <w:rPr>
          <w:spacing w:val="-5"/>
          <w:sz w:val="20"/>
        </w:rPr>
        <w:t>MSW</w:t>
      </w:r>
    </w:p>
    <w:p>
      <w:pPr>
        <w:pStyle w:val="BodyText"/>
        <w:spacing w:before="29"/>
        <w:ind w:left="294"/>
      </w:pPr>
      <w:r>
        <w:rPr>
          <w:color w:val="134E5C"/>
        </w:rPr>
        <w:t>New</w:t>
      </w:r>
      <w:r>
        <w:rPr>
          <w:color w:val="134E5C"/>
          <w:spacing w:val="15"/>
        </w:rPr>
        <w:t> </w:t>
      </w:r>
      <w:r>
        <w:rPr>
          <w:color w:val="134E5C"/>
        </w:rPr>
        <w:t>Mexico</w:t>
      </w:r>
      <w:r>
        <w:rPr>
          <w:color w:val="134E5C"/>
          <w:spacing w:val="15"/>
        </w:rPr>
        <w:t> </w:t>
      </w:r>
      <w:r>
        <w:rPr>
          <w:color w:val="134E5C"/>
        </w:rPr>
        <w:t>Highlands</w:t>
      </w:r>
      <w:r>
        <w:rPr>
          <w:color w:val="134E5C"/>
          <w:spacing w:val="15"/>
        </w:rPr>
        <w:t> </w:t>
      </w:r>
      <w:r>
        <w:rPr>
          <w:color w:val="134E5C"/>
        </w:rPr>
        <w:t>University</w:t>
      </w:r>
      <w:r>
        <w:rPr>
          <w:color w:val="134E5C"/>
          <w:spacing w:val="15"/>
        </w:rPr>
        <w:t> </w:t>
      </w:r>
      <w:r>
        <w:rPr>
          <w:color w:val="134E5C"/>
        </w:rPr>
        <w:t>|</w:t>
      </w:r>
      <w:r>
        <w:rPr>
          <w:color w:val="134E5C"/>
          <w:spacing w:val="15"/>
        </w:rPr>
        <w:t> </w:t>
      </w:r>
      <w:r>
        <w:rPr>
          <w:color w:val="134E5C"/>
        </w:rPr>
        <w:t>May</w:t>
      </w:r>
      <w:r>
        <w:rPr>
          <w:color w:val="134E5C"/>
          <w:spacing w:val="15"/>
        </w:rPr>
        <w:t> </w:t>
      </w:r>
      <w:r>
        <w:rPr>
          <w:color w:val="134E5C"/>
          <w:spacing w:val="-4"/>
        </w:rPr>
        <w:t>2019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BA,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Sociology</w:t>
      </w:r>
    </w:p>
    <w:p>
      <w:pPr>
        <w:pStyle w:val="BodyText"/>
        <w:spacing w:before="29"/>
        <w:ind w:left="294"/>
      </w:pPr>
      <w:r>
        <w:rPr>
          <w:color w:val="134E5C"/>
          <w:w w:val="105"/>
        </w:rPr>
        <w:t>University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New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Mexico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|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May</w:t>
      </w:r>
      <w:r>
        <w:rPr>
          <w:color w:val="134E5C"/>
          <w:spacing w:val="-12"/>
          <w:w w:val="105"/>
        </w:rPr>
        <w:t> </w:t>
      </w:r>
      <w:r>
        <w:rPr>
          <w:color w:val="134E5C"/>
          <w:spacing w:val="-4"/>
          <w:w w:val="105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2739" w:space="1093"/>
            <w:col w:w="7805"/>
          </w:cols>
        </w:sectPr>
      </w:pP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40" w:lineRule="auto" w:before="138" w:after="0"/>
        <w:ind w:left="4776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971787"/>
                                </a:moveTo>
                                <a:lnTo>
                                  <a:pt x="0" y="2971787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971787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2650"/>
                                </a:lnTo>
                                <a:lnTo>
                                  <a:pt x="5091684" y="215265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66975" cy="905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058275">
                                <a:moveTo>
                                  <a:pt x="2466974" y="9058274"/>
                                </a:moveTo>
                                <a:lnTo>
                                  <a:pt x="0" y="90582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9058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14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39909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2711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66962" y="12"/>
                            <a:ext cx="5101590" cy="905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1590" h="9058275">
                                <a:moveTo>
                                  <a:pt x="5101209" y="2971787"/>
                                </a:moveTo>
                                <a:lnTo>
                                  <a:pt x="0" y="2971787"/>
                                </a:lnTo>
                                <a:lnTo>
                                  <a:pt x="0" y="9058262"/>
                                </a:lnTo>
                                <a:lnTo>
                                  <a:pt x="5101209" y="9058262"/>
                                </a:lnTo>
                                <a:lnTo>
                                  <a:pt x="5101209" y="2971787"/>
                                </a:lnTo>
                                <a:close/>
                              </a:path>
                              <a:path w="5101590" h="9058275">
                                <a:moveTo>
                                  <a:pt x="5101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2650"/>
                                </a:lnTo>
                                <a:lnTo>
                                  <a:pt x="5101209" y="2152650"/>
                                </a:lnTo>
                                <a:lnTo>
                                  <a:pt x="510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2174" y="29717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2912" id="docshapegroup3" coordorigin="0,0" coordsize="11919,16858">
                <v:shape style="position:absolute;left:3899;top:0;width:8019;height:16858" id="docshape4" coordorigin="3900,0" coordsize="8019,16858" path="m11918,4680l3900,4680,3900,16858,11918,16858,11918,4680xm11918,0l3900,0,3900,3390,11918,3390,11918,0xe" filled="true" fillcolor="#f5f5f5" stroked="false">
                  <v:path arrowok="t"/>
                  <v:fill type="solid"/>
                </v:shape>
                <v:rect style="position:absolute;left:0;top:0;width:3885;height:14265" id="docshape5" filled="true" fillcolor="#ffffff" stroked="false">
                  <v:fill type="solid"/>
                </v:rect>
                <v:shape style="position:absolute;left:435;top:875;width:2730;height:2740" type="#_x0000_t75" id="docshape6" stroked="false">
                  <v:imagedata r:id="rId6" o:title=""/>
                </v:shape>
                <v:shape style="position:absolute;left:585;top:5430;width:317;height:317" type="#_x0000_t75" id="docshape7" stroked="false">
                  <v:imagedata r:id="rId7" o:title=""/>
                </v:shape>
                <v:shape style="position:absolute;left:605;top:5850;width:275;height:317" type="#_x0000_t75" id="docshape8" stroked="false">
                  <v:imagedata r:id="rId8" o:title=""/>
                </v:shape>
                <v:shape style="position:absolute;left:586;top:6285;width:315;height:317" type="#_x0000_t75" id="docshape9" stroked="false">
                  <v:imagedata r:id="rId9" o:title=""/>
                </v:shape>
                <v:shape style="position:absolute;left:585;top:6726;width:317;height:274" type="#_x0000_t75" id="docshape10" stroked="false">
                  <v:imagedata r:id="rId10" o:title=""/>
                </v:shape>
                <v:shape style="position:absolute;left:3884;top:0;width:8034;height:14265" id="docshape11" coordorigin="3885,0" coordsize="8034,14265" path="m11918,4680l3885,4680,3885,14265,11918,14265,11918,4680xm11918,0l3885,0,3885,3390,11918,3390,11918,0xe" filled="true" fillcolor="#f5f5f5" stroked="false">
                  <v:path arrowok="t"/>
                  <v:fill type="solid"/>
                </v:shape>
                <v:shape style="position:absolute;left:3405;top:4680;width:480;height:600" id="docshape12" coordorigin="3405,4680" coordsize="480,600" path="m3885,5280l3405,4680,3885,4680,3885,528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w w:val="105"/>
          <w:sz w:val="18"/>
        </w:rPr>
        <w:t>LCSW,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New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Mexico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Regulation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Licensing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Department,</w:t>
      </w:r>
      <w:r>
        <w:rPr>
          <w:color w:val="134E5C"/>
          <w:spacing w:val="-4"/>
          <w:w w:val="105"/>
          <w:sz w:val="18"/>
        </w:rPr>
        <w:t> 2021</w:t>
      </w: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40" w:lineRule="auto" w:before="123" w:after="0"/>
        <w:ind w:left="4776" w:right="0" w:hanging="297"/>
        <w:jc w:val="left"/>
        <w:rPr>
          <w:sz w:val="18"/>
        </w:rPr>
      </w:pPr>
      <w:r>
        <w:rPr>
          <w:color w:val="134E5C"/>
          <w:sz w:val="18"/>
        </w:rPr>
        <w:t>EMDR</w:t>
      </w:r>
      <w:r>
        <w:rPr>
          <w:color w:val="134E5C"/>
          <w:spacing w:val="12"/>
          <w:sz w:val="18"/>
        </w:rPr>
        <w:t> </w:t>
      </w:r>
      <w:r>
        <w:rPr>
          <w:color w:val="134E5C"/>
          <w:sz w:val="18"/>
        </w:rPr>
        <w:t>Basic</w:t>
      </w:r>
      <w:r>
        <w:rPr>
          <w:color w:val="134E5C"/>
          <w:spacing w:val="12"/>
          <w:sz w:val="18"/>
        </w:rPr>
        <w:t> </w:t>
      </w:r>
      <w:r>
        <w:rPr>
          <w:color w:val="134E5C"/>
          <w:sz w:val="18"/>
        </w:rPr>
        <w:t>Training,</w:t>
      </w:r>
      <w:r>
        <w:rPr>
          <w:color w:val="134E5C"/>
          <w:spacing w:val="12"/>
          <w:sz w:val="18"/>
        </w:rPr>
        <w:t> </w:t>
      </w:r>
      <w:r>
        <w:rPr>
          <w:color w:val="134E5C"/>
          <w:sz w:val="18"/>
        </w:rPr>
        <w:t>EMDRIA-approved,</w:t>
      </w:r>
      <w:r>
        <w:rPr>
          <w:color w:val="134E5C"/>
          <w:spacing w:val="12"/>
          <w:sz w:val="18"/>
        </w:rPr>
        <w:t> </w:t>
      </w:r>
      <w:r>
        <w:rPr>
          <w:color w:val="134E5C"/>
          <w:spacing w:val="-4"/>
          <w:sz w:val="18"/>
        </w:rPr>
        <w:t>2021</w:t>
      </w:r>
    </w:p>
    <w:sectPr>
      <w:type w:val="continuous"/>
      <w:pgSz w:w="11920" w:h="16860"/>
      <w:pgMar w:top="80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57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b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2026-06-19T16:14:37Z</dcterms:created>
  <dcterms:modified xsi:type="dcterms:W3CDTF">2026-06-19T16:14:37Z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