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Donald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-2"/>
          <w:sz w:val="74"/>
        </w:rPr>
        <w:t>Walker</w:t>
      </w:r>
    </w:p>
    <w:p>
      <w:pPr>
        <w:pStyle w:val="Heading2"/>
      </w:pPr>
      <w:r>
        <w:rPr>
          <w:color w:val="FFFFFF"/>
        </w:rPr>
        <w:t>Travel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Nurse</w:t>
      </w:r>
    </w:p>
    <w:p>
      <w:pPr>
        <w:spacing w:line="273" w:lineRule="auto" w:before="193"/>
        <w:ind w:left="448" w:right="500" w:firstLine="0"/>
        <w:jc w:val="left"/>
        <w:rPr>
          <w:sz w:val="16"/>
        </w:rPr>
      </w:pPr>
      <w:r>
        <w:rPr>
          <w:color w:val="FFFFFF"/>
          <w:w w:val="105"/>
          <w:sz w:val="16"/>
        </w:rPr>
        <w:t>Travel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RN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4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acute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care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9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contracts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med-surg,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telemetry,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step-down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units.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Quick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onboard 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often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charge-eligible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week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three. Active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compact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license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plus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CA single-state,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BLS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 ACLS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current.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pStyle w:val="BodyText"/>
        <w:spacing w:before="142"/>
        <w:rPr>
          <w:b/>
          <w:sz w:val="20"/>
        </w:rPr>
      </w:pPr>
    </w:p>
    <w:p>
      <w:pPr>
        <w:pStyle w:val="BodyText"/>
        <w:ind w:left="597"/>
      </w:pPr>
      <w:r>
        <w:rPr>
          <w:color w:val="424242"/>
        </w:rPr>
        <w:t>(503)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0142</w:t>
      </w:r>
    </w:p>
    <w:p>
      <w:pPr>
        <w:pStyle w:val="Heading1"/>
        <w:spacing w:before="53"/>
      </w:pPr>
      <w:r>
        <w:rPr>
          <w:b w:val="0"/>
        </w:rPr>
        <w:br w:type="column"/>
      </w:r>
      <w:r>
        <w:rPr>
          <w:smallCaps/>
          <w:color w:val="45818F"/>
          <w:spacing w:val="4"/>
          <w:w w:val="90"/>
        </w:rPr>
        <w:t>Professional</w:t>
      </w:r>
      <w:r>
        <w:rPr>
          <w:smallCaps/>
          <w:color w:val="45818F"/>
          <w:spacing w:val="55"/>
        </w:rPr>
        <w:t> </w:t>
      </w:r>
      <w:r>
        <w:rPr>
          <w:smallCaps/>
          <w:color w:val="45818F"/>
          <w:spacing w:val="-2"/>
          <w:w w:val="95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/>
      </w:pPr>
      <w:r>
        <w:rPr>
          <w:w w:val="105"/>
        </w:rPr>
        <w:t>Travel RN, Telemetry/Step-Down </w:t>
      </w:r>
      <w:r>
        <w:rPr>
          <w:w w:val="105"/>
          <w:position w:val="2"/>
        </w:rPr>
        <w:t>| </w:t>
      </w:r>
      <w:r>
        <w:rPr>
          <w:w w:val="105"/>
        </w:rPr>
        <w:t>Crestwave Staffing Group, Portland, OR (multi-state assignments)</w:t>
      </w:r>
    </w:p>
    <w:p>
      <w:pPr>
        <w:pStyle w:val="BodyText"/>
        <w:spacing w:line="200" w:lineRule="exact"/>
        <w:ind w:left="170"/>
      </w:pPr>
      <w:r>
        <w:rPr>
          <w:w w:val="105"/>
        </w:rPr>
        <w:t>2022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 w:line="200" w:lineRule="exact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8591549"/>
                            <a:ext cx="2266950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114550">
                                <a:moveTo>
                                  <a:pt x="0" y="2114549"/>
                                </a:moveTo>
                                <a:lnTo>
                                  <a:pt x="2266949" y="21145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285999"/>
                            <a:ext cx="2266950" cy="630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6305550">
                                <a:moveTo>
                                  <a:pt x="2266950" y="4133850"/>
                                </a:moveTo>
                                <a:lnTo>
                                  <a:pt x="0" y="4133850"/>
                                </a:lnTo>
                                <a:lnTo>
                                  <a:pt x="0" y="6305550"/>
                                </a:lnTo>
                                <a:lnTo>
                                  <a:pt x="2266950" y="6305550"/>
                                </a:lnTo>
                                <a:lnTo>
                                  <a:pt x="2266950" y="4133850"/>
                                </a:lnTo>
                                <a:close/>
                              </a:path>
                              <a:path w="2266950" h="6305550">
                                <a:moveTo>
                                  <a:pt x="2266950" y="2295525"/>
                                </a:moveTo>
                                <a:lnTo>
                                  <a:pt x="0" y="2295525"/>
                                </a:lnTo>
                                <a:lnTo>
                                  <a:pt x="0" y="3762375"/>
                                </a:lnTo>
                                <a:lnTo>
                                  <a:pt x="2266950" y="3762375"/>
                                </a:lnTo>
                                <a:lnTo>
                                  <a:pt x="2266950" y="2295525"/>
                                </a:lnTo>
                                <a:close/>
                              </a:path>
                              <a:path w="2266950" h="630555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1924050"/>
                                </a:lnTo>
                                <a:lnTo>
                                  <a:pt x="2266950" y="1924050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630555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860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0540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19087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5051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384809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2100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5780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604837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416039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328" id="docshapegroup1" coordorigin="0,0" coordsize="11919,16860">
                <v:rect style="position:absolute;left:255;top:13530;width:3570;height:3330" id="docshape2" filled="true" fillcolor="#45818f" stroked="false">
                  <v:fill opacity="32899f" type="solid"/>
                </v:rect>
                <v:rect style="position:absolute;left:0;top:0;width:11919;height:3600" id="docshape3" filled="true" fillcolor="#424242" stroked="false">
                  <v:fill type="solid"/>
                </v:rect>
                <v:shape style="position:absolute;left:254;top:3600;width:3570;height:9930" id="docshape4" coordorigin="255,3600" coordsize="3570,9930" path="m3825,10110l255,10110,255,13530,3825,13530,3825,10110xm3825,7215l255,7215,255,9525,3825,9525,3825,7215xm3825,4815l255,4815,255,6630,3825,6630,3825,4815xm3825,3600l255,3600,255,4230,3825,4230,3825,3600xe" filled="true" fillcolor="#45818f" stroked="false">
                  <v:path arrowok="t"/>
                  <v:fill opacity="32899f" type="solid"/>
                </v:shape>
                <v:rect style="position:absolute;left:0;top:4230;width:4020;height:585" id="docshape5" filled="true" fillcolor="#45818f" stroked="false">
                  <v:fill type="solid"/>
                </v:rect>
                <v:shape style="position:absolute;left:3825;top:4809;width:197;height:404" type="#_x0000_t75" id="docshape6" stroked="false">
                  <v:imagedata r:id="rId5" o:title=""/>
                </v:shape>
                <v:shape style="position:absolute;left:600;top:5025;width:255;height:255" type="#_x0000_t75" id="docshape7" stroked="false">
                  <v:imagedata r:id="rId6" o:title=""/>
                </v:shape>
                <v:shape style="position:absolute;left:600;top:5520;width:255;height:300" type="#_x0000_t75" id="docshape8" stroked="false">
                  <v:imagedata r:id="rId7" o:title=""/>
                </v:shape>
                <v:shape style="position:absolute;left:600;top:6060;width:255;height:263" type="#_x0000_t75" id="docshape9" stroked="false">
                  <v:imagedata r:id="rId8" o:title=""/>
                </v:shape>
                <v:rect style="position:absolute;left:0;top:6630;width:4020;height:585" id="docshape10" filled="true" fillcolor="#45818f" stroked="false">
                  <v:fill type="solid"/>
                </v:rect>
                <v:shape style="position:absolute;left:3825;top:7209;width:197;height:404" type="#_x0000_t75" id="docshape11" stroked="false">
                  <v:imagedata r:id="rId5" o:title=""/>
                </v:shape>
                <v:rect style="position:absolute;left:0;top:9525;width:4020;height:585" id="docshape12" filled="true" fillcolor="#45818f" stroked="false">
                  <v:fill type="solid"/>
                </v:rect>
                <v:shape style="position:absolute;left:3825;top:10104;width:197;height:404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609" w:lineRule="auto"/>
        <w:ind w:left="597"/>
      </w:pPr>
      <w:hyperlink r:id="rId10">
        <w:r>
          <w:rPr>
            <w:color w:val="424242"/>
            <w:spacing w:val="-2"/>
          </w:rPr>
          <w:t>m.tavares.rn@example.com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Portland, OR 12345</w:t>
      </w:r>
    </w:p>
    <w:p>
      <w:pPr>
        <w:pStyle w:val="Heading1"/>
        <w:spacing w:before="130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30"/>
        <w:rPr>
          <w:b/>
          <w:sz w:val="20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BSN, Oregon Health &amp; Science University, 2020</w:t>
      </w:r>
    </w:p>
    <w:p>
      <w:pPr>
        <w:pStyle w:val="BodyText"/>
        <w:spacing w:before="101"/>
        <w:rPr>
          <w:sz w:val="16"/>
        </w:rPr>
      </w:pPr>
    </w:p>
    <w:p>
      <w:pPr>
        <w:spacing w:line="273" w:lineRule="auto" w:before="1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Licensure: RN, Compact (OR primary), CA single-state</w:t>
      </w:r>
    </w:p>
    <w:p>
      <w:pPr>
        <w:pStyle w:val="BodyText"/>
        <w:spacing w:before="86"/>
        <w:rPr>
          <w:sz w:val="16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Certifications: BLS, ACLS, NIH Stroke </w:t>
      </w:r>
      <w:r>
        <w:rPr>
          <w:color w:val="424242"/>
          <w:spacing w:val="-4"/>
          <w:w w:val="105"/>
          <w:sz w:val="16"/>
        </w:rPr>
        <w:t>Scale</w:t>
      </w:r>
    </w:p>
    <w:p>
      <w:pPr>
        <w:pStyle w:val="BodyText"/>
        <w:rPr>
          <w:sz w:val="16"/>
        </w:rPr>
      </w:pPr>
    </w:p>
    <w:p>
      <w:pPr>
        <w:pStyle w:val="BodyText"/>
        <w:spacing w:before="45"/>
        <w:rPr>
          <w:sz w:val="16"/>
        </w:r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5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2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Epic,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w w:val="105"/>
          <w:sz w:val="16"/>
        </w:rPr>
        <w:t>Cerner,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Meditech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Telemetry</w:t>
      </w:r>
      <w:r>
        <w:rPr>
          <w:color w:val="424242"/>
          <w:spacing w:val="3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interpretation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27" w:after="0"/>
        <w:ind w:left="467" w:right="772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Cardiac drips (Cardizem, </w:t>
      </w:r>
      <w:r>
        <w:rPr>
          <w:color w:val="424242"/>
          <w:spacing w:val="-2"/>
          <w:w w:val="105"/>
          <w:sz w:val="16"/>
        </w:rPr>
        <w:t>amiodarone)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31" w:lineRule="exact" w:before="44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Rapid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onboarding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w w:val="105"/>
          <w:sz w:val="16"/>
        </w:rPr>
        <w:t>(under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w w:val="105"/>
          <w:sz w:val="16"/>
        </w:rPr>
        <w:t>3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shifts)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08" w:lineRule="exact" w:before="0" w:after="0"/>
        <w:ind w:left="46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6"/>
        </w:rPr>
        <w:t>Charge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nurse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float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05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Sepsis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bundle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w w:val="105"/>
          <w:sz w:val="16"/>
        </w:rPr>
        <w:t>stroke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alert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Preceptor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EHR</w:t>
      </w:r>
      <w:r>
        <w:rPr>
          <w:color w:val="424242"/>
          <w:spacing w:val="18"/>
          <w:w w:val="105"/>
          <w:sz w:val="16"/>
        </w:rPr>
        <w:t> </w:t>
      </w:r>
      <w:r>
        <w:rPr>
          <w:color w:val="424242"/>
          <w:w w:val="105"/>
          <w:sz w:val="16"/>
        </w:rPr>
        <w:t>super-</w:t>
      </w:r>
      <w:r>
        <w:rPr>
          <w:color w:val="424242"/>
          <w:spacing w:val="-4"/>
          <w:w w:val="105"/>
          <w:sz w:val="16"/>
        </w:rPr>
        <w:t>user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2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Press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w w:val="105"/>
          <w:sz w:val="16"/>
        </w:rPr>
        <w:t>Ganey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HCAHPS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71" w:after="0"/>
        <w:ind w:left="523" w:right="33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Completed 7 back-to-back 13-week contracts across OR, AZ, and TX with zero facility-initiated cancellations.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483" w:hanging="298"/>
        <w:jc w:val="left"/>
        <w:rPr>
          <w:position w:val="-4"/>
          <w:sz w:val="31"/>
        </w:rPr>
      </w:pPr>
      <w:r>
        <w:rPr>
          <w:w w:val="105"/>
          <w:sz w:val="18"/>
        </w:rPr>
        <w:t>Carried 5 to 6 patient assignments on a 32-bed cardiac step-down floor;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recognized as charge nurse float within 4 weeks of start in Tucson.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45" w:hanging="298"/>
        <w:jc w:val="left"/>
        <w:rPr>
          <w:position w:val="-4"/>
          <w:sz w:val="31"/>
        </w:rPr>
      </w:pPr>
      <w:r>
        <w:rPr>
          <w:w w:val="105"/>
          <w:sz w:val="18"/>
        </w:rPr>
        <w:t>Caught a delayed sepsis presentation overnight, escalated to rapid response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 12 minutes of vitals shift, patient transferred to ICU without code event.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9" w:after="0"/>
        <w:ind w:left="523" w:right="148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11 core staff on Epic Rover and bedside barcode scanning during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Cerner-to-Epic conversion in Phoenix.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7" w:after="0"/>
        <w:ind w:left="523" w:right="532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Held Press Ganey patient communication scores above unit average on every completed assignment.</w:t>
      </w:r>
    </w:p>
    <w:p>
      <w:pPr>
        <w:pStyle w:val="BodyText"/>
        <w:spacing w:before="137"/>
      </w:pPr>
    </w:p>
    <w:p>
      <w:pPr>
        <w:pStyle w:val="BodyText"/>
        <w:spacing w:line="268" w:lineRule="auto"/>
        <w:ind w:left="58" w:right="1123"/>
      </w:pPr>
      <w:r>
        <w:rPr>
          <w:w w:val="105"/>
        </w:rPr>
        <w:t>Staff RN, Medical-Surgical </w:t>
      </w:r>
      <w:r>
        <w:rPr>
          <w:w w:val="105"/>
          <w:position w:val="2"/>
        </w:rPr>
        <w:t>| </w:t>
      </w:r>
      <w:r>
        <w:rPr>
          <w:w w:val="105"/>
        </w:rPr>
        <w:t>Riverbend Memorial Hospital, Eugene, OR 2020 – 2022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4" w:lineRule="auto" w:before="90" w:after="0"/>
        <w:ind w:left="523" w:right="100" w:hanging="298"/>
        <w:jc w:val="left"/>
        <w:rPr>
          <w:position w:val="-2"/>
          <w:sz w:val="31"/>
        </w:rPr>
      </w:pPr>
      <w:r>
        <w:rPr>
          <w:w w:val="105"/>
          <w:sz w:val="18"/>
        </w:rPr>
        <w:t>Worked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36-hour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weeks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28-bed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med-surg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unit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1:5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ratio,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post-op general surgery and oncology overflow.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8" w:after="0"/>
        <w:ind w:left="523" w:right="200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Precepted 4 new graduate RNs through 10-week orientation; 3 remained on unit at time of departure.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100" w:hanging="298"/>
        <w:jc w:val="left"/>
        <w:rPr>
          <w:position w:val="-4"/>
          <w:sz w:val="31"/>
        </w:rPr>
      </w:pPr>
      <w:r>
        <w:rPr>
          <w:w w:val="105"/>
          <w:sz w:val="18"/>
        </w:rPr>
        <w:t>Served on unit shared-governance council, co-wrote a fall-prevention huddle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protocol adopted by 2 sister units.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1" w:after="0"/>
        <w:ind w:left="523" w:right="634" w:hanging="298"/>
        <w:jc w:val="left"/>
        <w:rPr>
          <w:position w:val="-4"/>
          <w:sz w:val="31"/>
        </w:rPr>
      </w:pPr>
      <w:r>
        <w:rPr>
          <w:w w:val="105"/>
          <w:sz w:val="18"/>
        </w:rPr>
        <w:t>Closed an HCAHPS pain-management gap by piloting hourly rounding scripts, scores rose from 68 to 81 over two quarters.</w:t>
      </w:r>
    </w:p>
    <w:sectPr>
      <w:type w:val="continuous"/>
      <w:pgSz w:w="11920" w:h="16860"/>
      <w:pgMar w:top="820" w:bottom="280" w:left="425" w:right="283"/>
      <w:cols w:num="2" w:equalWidth="0">
        <w:col w:w="3170" w:space="773"/>
        <w:col w:w="7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.tavares.rn@example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2026-06-26T13:44:49Z</dcterms:created>
  <dcterms:modified xsi:type="dcterms:W3CDTF">2026-06-26T13:44:49Z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