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15" w:right="0" w:firstLine="0"/>
        <w:jc w:val="left"/>
        <w:rPr>
          <w:sz w:val="74"/>
        </w:rPr>
      </w:pPr>
      <w:r>
        <w:rPr>
          <w:b/>
          <w:color w:val="FFFFFF"/>
          <w:sz w:val="74"/>
        </w:rPr>
        <w:t>TOMÁS</w:t>
      </w:r>
      <w:r>
        <w:rPr>
          <w:b/>
          <w:color w:val="FFFFFF"/>
          <w:spacing w:val="73"/>
          <w:sz w:val="74"/>
        </w:rPr>
        <w:t> </w:t>
      </w:r>
      <w:r>
        <w:rPr>
          <w:color w:val="FFFFFF"/>
          <w:spacing w:val="10"/>
          <w:sz w:val="74"/>
        </w:rPr>
        <w:t>BEAULIEU</w:t>
      </w:r>
    </w:p>
    <w:p>
      <w:pPr>
        <w:pStyle w:val="Heading2"/>
      </w:pPr>
      <w:r>
        <w:rPr>
          <w:color w:val="FFFFFF"/>
          <w:spacing w:val="9"/>
          <w:w w:val="105"/>
        </w:rPr>
        <w:t>Translator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/>
      </w:pPr>
      <w:r>
        <w:rPr>
          <w:color w:val="FFFFFF"/>
          <w:spacing w:val="-2"/>
          <w:w w:val="105"/>
        </w:rPr>
        <w:t>French-English translator with 6 years in ﬁnancial and corporate communications. </w:t>
      </w:r>
      <w:r>
        <w:rPr>
          <w:color w:val="FFFFFF"/>
          <w:w w:val="105"/>
        </w:rPr>
        <w:t>Regular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contributor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annual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reports,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investor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decks,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ESG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disclosures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 European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clients.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eye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register,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numbers,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footnote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consistency.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940" w:bottom="280" w:left="141" w:right="425"/>
          <w:cols w:num="2" w:equalWidth="0">
            <w:col w:w="3419" w:space="1007"/>
            <w:col w:w="6928"/>
          </w:cols>
        </w:sectPr>
      </w:pP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BodyText"/>
        <w:spacing w:before="154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(802) 555-0173</w:t>
      </w:r>
    </w:p>
    <w:p>
      <w:pPr>
        <w:pStyle w:val="BodyText"/>
        <w:spacing w:before="160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75386</wp:posOffset>
            </wp:positionV>
            <wp:extent cx="174258" cy="200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tomas.beaulieu@example.com</w:t>
        </w:r>
      </w:hyperlink>
    </w:p>
    <w:p>
      <w:pPr>
        <w:pStyle w:val="BodyText"/>
        <w:spacing w:line="278" w:lineRule="auto" w:before="75"/>
        <w:ind w:left="429"/>
      </w:pPr>
      <w:r>
        <w:rPr/>
        <w:br w:type="column"/>
      </w: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FINANCIAL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TRANSLATOR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(FR&gt;EN)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VERDILLE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TRANSLATION </w:t>
      </w:r>
      <w:r>
        <w:rPr>
          <w:w w:val="105"/>
        </w:rPr>
        <w:t>PARTNERS, MONTPELIER, VT</w:t>
      </w:r>
    </w:p>
    <w:p>
      <w:pPr>
        <w:pStyle w:val="BodyText"/>
        <w:spacing w:before="45"/>
        <w:ind w:left="429"/>
      </w:pPr>
      <w:r>
        <w:rPr>
          <w:w w:val="105"/>
        </w:rPr>
        <w:t>2020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940" w:bottom="280" w:left="141" w:right="425"/>
          <w:cols w:num="2" w:equalWidth="0">
            <w:col w:w="3505" w:space="594"/>
            <w:col w:w="7255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940" w:bottom="280" w:left="141" w:right="425"/>
        </w:sectPr>
      </w:pPr>
    </w:p>
    <w:p>
      <w:pPr>
        <w:pStyle w:val="BodyText"/>
        <w:spacing w:before="33"/>
        <w:ind w:left="4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794000" y="5308600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99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809874" y="2276475"/>
                            <a:ext cx="475869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200900">
                                <a:moveTo>
                                  <a:pt x="4758308" y="7200899"/>
                                </a:moveTo>
                                <a:lnTo>
                                  <a:pt x="0" y="7200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200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3712" y="3676649"/>
                            <a:ext cx="47625" cy="469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95825">
                                <a:moveTo>
                                  <a:pt x="47625" y="4668659"/>
                                </a:moveTo>
                                <a:lnTo>
                                  <a:pt x="27165" y="4648200"/>
                                </a:lnTo>
                                <a:lnTo>
                                  <a:pt x="20472" y="4648200"/>
                                </a:lnTo>
                                <a:lnTo>
                                  <a:pt x="0" y="4668659"/>
                                </a:lnTo>
                                <a:lnTo>
                                  <a:pt x="0" y="4672241"/>
                                </a:lnTo>
                                <a:lnTo>
                                  <a:pt x="0" y="4675365"/>
                                </a:lnTo>
                                <a:lnTo>
                                  <a:pt x="20472" y="4695825"/>
                                </a:lnTo>
                                <a:lnTo>
                                  <a:pt x="27165" y="4695825"/>
                                </a:lnTo>
                                <a:lnTo>
                                  <a:pt x="47625" y="4675365"/>
                                </a:lnTo>
                                <a:lnTo>
                                  <a:pt x="47625" y="4668659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4316247"/>
                                </a:moveTo>
                                <a:lnTo>
                                  <a:pt x="27165" y="4295775"/>
                                </a:lnTo>
                                <a:lnTo>
                                  <a:pt x="20472" y="4295775"/>
                                </a:lnTo>
                                <a:lnTo>
                                  <a:pt x="0" y="4316247"/>
                                </a:lnTo>
                                <a:lnTo>
                                  <a:pt x="0" y="4319816"/>
                                </a:lnTo>
                                <a:lnTo>
                                  <a:pt x="0" y="4322940"/>
                                </a:lnTo>
                                <a:lnTo>
                                  <a:pt x="20472" y="4343400"/>
                                </a:lnTo>
                                <a:lnTo>
                                  <a:pt x="27165" y="4343400"/>
                                </a:lnTo>
                                <a:lnTo>
                                  <a:pt x="47625" y="4322940"/>
                                </a:lnTo>
                                <a:lnTo>
                                  <a:pt x="47625" y="431624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849384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84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84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487447"/>
                                </a:moveTo>
                                <a:lnTo>
                                  <a:pt x="27165" y="2466975"/>
                                </a:lnTo>
                                <a:lnTo>
                                  <a:pt x="20472" y="2466975"/>
                                </a:lnTo>
                                <a:lnTo>
                                  <a:pt x="0" y="2487447"/>
                                </a:lnTo>
                                <a:lnTo>
                                  <a:pt x="0" y="2491016"/>
                                </a:lnTo>
                                <a:lnTo>
                                  <a:pt x="0" y="2494140"/>
                                </a:lnTo>
                                <a:lnTo>
                                  <a:pt x="20472" y="2514600"/>
                                </a:lnTo>
                                <a:lnTo>
                                  <a:pt x="27165" y="2514600"/>
                                </a:lnTo>
                                <a:lnTo>
                                  <a:pt x="47625" y="2494140"/>
                                </a:lnTo>
                                <a:lnTo>
                                  <a:pt x="47625" y="248744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4695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562224"/>
                            <a:ext cx="2809875" cy="391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914775">
                                <a:moveTo>
                                  <a:pt x="2809862" y="3676650"/>
                                </a:moveTo>
                                <a:lnTo>
                                  <a:pt x="0" y="3676650"/>
                                </a:lnTo>
                                <a:lnTo>
                                  <a:pt x="0" y="3914775"/>
                                </a:lnTo>
                                <a:lnTo>
                                  <a:pt x="2809862" y="3914775"/>
                                </a:lnTo>
                                <a:lnTo>
                                  <a:pt x="2809862" y="3676650"/>
                                </a:lnTo>
                                <a:close/>
                              </a:path>
                              <a:path w="2809875" h="391477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391477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9056" id="docshapegroup1" coordorigin="0,0" coordsize="11919,16858">
                <v:rect style="position:absolute;left:4400;top:8360;width:7519;height:8498" id="docshape2" filled="true" fillcolor="#f1f4f4" stroked="false">
                  <v:fill type="solid"/>
                </v:rect>
                <v:rect style="position:absolute;left:0;top:0;width:11919;height:3585" id="docshape3" filled="true" fillcolor="#073762" stroked="false">
                  <v:fill type="solid"/>
                </v:rect>
                <v:shape style="position:absolute;left:840;top:0;width:2415;height:2460" type="#_x0000_t75" id="docshape4" stroked="false">
                  <v:imagedata r:id="rId8" o:title=""/>
                </v:shape>
                <v:rect style="position:absolute;left:4425;top:3585;width:7494;height:11340" id="docshape5" filled="true" fillcolor="#f5f5f5" stroked="false">
                  <v:fill type="solid"/>
                </v:rect>
                <v:shape style="position:absolute;left:4934;top:5790;width:75;height:7395" id="docshape6" coordorigin="4935,5790" coordsize="75,7395" path="m5010,13142l5009,13137,5005,13128,5003,13124,4996,13117,4992,13115,4983,13111,4978,13110,4967,13110,4962,13111,4953,13115,4949,13117,4942,13124,4940,13128,4936,13137,4935,13142,4935,13148,4935,13153,4936,13158,4940,13167,4942,13171,4949,13178,4953,13180,4962,13184,4967,13185,4978,13185,4983,13184,4992,13180,4996,13178,5003,13171,5005,13167,5009,13158,5010,13153,5010,13142xm5010,12587l5009,12582,5005,12573,5003,12569,4996,12562,4992,12560,4983,12556,4978,12555,4967,12555,4962,12556,4953,12560,4949,12562,4942,12569,4940,12573,4936,12582,4935,12587,4935,12593,4935,12598,4936,12603,4940,12612,4942,12616,4949,12623,4953,12625,4962,12629,4967,12630,4978,12630,4983,12629,4992,12625,4996,12623,5003,12616,5005,12612,5009,12603,5010,12598,5010,12587xm5010,12017l5009,12012,5005,12003,5003,11999,4996,11992,4992,11990,4983,11986,4978,11985,4967,11985,4962,11986,4953,11990,4949,11992,4942,11999,4940,12003,4936,12012,4935,12017,4935,12023,4935,12028,4936,12033,4940,12042,4942,12046,4949,12053,4953,12055,4962,12059,4967,12060,4978,12060,4983,12059,4992,12055,4996,12053,5003,12046,5005,12042,5009,12033,5010,12028,5010,12017xm5010,10592l5009,10587,5005,10578,5003,10574,4996,10567,4992,10565,4983,10561,4978,10560,4967,10560,4962,10561,4953,10565,4949,10567,4942,10574,4940,10578,4936,10587,4935,10592,4935,10598,4935,10603,4936,10608,4940,10617,4942,10621,4949,10628,4953,10630,4962,10634,4967,10635,4978,10635,4983,10634,4992,10630,4996,10628,5003,10621,5005,10617,5009,10608,5010,10603,5010,10592xm5010,10277l5009,10272,5005,10263,5003,10259,4996,10252,4992,10250,4983,10246,4978,10245,4967,10245,4962,10246,4953,10250,4949,10252,4942,10259,4940,10263,4936,10272,4935,10277,4935,10283,4935,10288,4936,10293,4940,10302,4942,10306,4949,10313,4953,10315,4962,10319,4967,10320,4978,10320,4983,10319,4992,10315,4996,10313,5003,10306,5005,10302,5009,10293,5010,10288,5010,10277xm5010,9707l5009,9702,5005,9693,5003,9689,4996,9682,4992,9680,4983,9676,4978,9675,4967,9675,4962,9676,4953,9680,4949,9682,4942,9689,4940,9693,4936,9702,4935,9707,4935,9713,4935,9718,4936,9723,4940,9732,4942,9736,4949,9743,4953,9745,4962,9749,4967,9750,4978,9750,4983,9749,4992,9745,4996,9743,5003,9736,5005,9732,5009,9723,5010,9718,5010,9707xm5010,9152l5009,9147,5005,9138,5003,9134,4996,9127,4992,9125,4983,9121,4978,9120,4967,9120,4962,9121,4953,9125,4949,9127,4942,9134,4940,9138,4936,9147,4935,9152,4935,9158,4935,9163,4936,9168,4940,9177,4942,9181,4949,9188,4953,9190,4962,9194,4967,9195,4978,9195,4983,9194,4992,9190,4996,9188,5003,9181,5005,9177,5009,9168,5010,9163,5010,9152xm5010,7487l5009,7482,5005,7473,5003,7469,4996,7462,4992,7460,4983,7456,4978,7455,4967,7455,4962,7456,4953,7460,4949,7462,4942,7469,4940,7473,4936,7482,4935,7487,4935,7493,4935,7498,4936,7503,4940,7512,4942,7516,4949,7523,4953,7525,4962,7529,4967,7530,4978,7530,4983,7529,4992,7525,4996,7523,5003,7516,5005,7512,5009,7503,5010,7498,5010,7487xm5010,6932l5009,6927,5005,6918,5003,6914,4996,6907,4992,6905,4983,6901,4978,6900,4967,6900,4962,6901,4953,6905,4949,6907,4942,6914,4940,6918,4936,6927,4935,6932,4935,6938,4935,6943,4936,6948,4940,6957,4942,6961,4949,6968,4953,6970,4962,6974,4967,6975,4978,6975,4983,6974,4992,6970,4996,6968,5003,6961,5005,6957,5009,6948,5010,6943,5010,6932xm5010,6377l5009,6372,5005,6363,5003,6359,4996,6352,4992,6350,4983,6346,4978,6345,4967,6345,4962,6346,4953,6350,4949,6352,4942,6359,4940,6363,4936,6372,4935,6377,4935,6383,4935,6388,4936,6393,4940,6402,4942,6406,4949,6413,4953,6415,4962,6419,4967,6420,4978,6420,4983,6419,4992,6415,4996,6413,5003,6406,5005,6402,5009,6393,5010,6388,5010,6377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035;width:4425;height:6165" id="docshape7" coordorigin="0,4035" coordsize="4425,6165" path="m4425,9825l0,9825,0,10200,4425,10200,4425,9825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Montpelier, VT 12345</w:t>
      </w:r>
    </w:p>
    <w:p>
      <w:pPr>
        <w:pStyle w:val="BodyText"/>
        <w:spacing w:before="24"/>
      </w:pPr>
    </w:p>
    <w:p>
      <w:pPr>
        <w:pStyle w:val="Heading1"/>
        <w:spacing w:before="1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8"/>
        <w:rPr>
          <w:b/>
          <w:sz w:val="26"/>
        </w:rPr>
      </w:pPr>
    </w:p>
    <w:p>
      <w:pPr>
        <w:pStyle w:val="BodyText"/>
        <w:spacing w:before="1"/>
        <w:ind w:left="435"/>
      </w:pPr>
      <w:r>
        <w:rPr/>
        <w:t>M.A.</w:t>
      </w:r>
      <w:r>
        <w:rPr>
          <w:spacing w:val="6"/>
        </w:rPr>
        <w:t> </w:t>
      </w:r>
      <w:r>
        <w:rPr/>
        <w:t>Translation,</w:t>
      </w:r>
      <w:r>
        <w:rPr>
          <w:spacing w:val="7"/>
        </w:rPr>
        <w:t> </w:t>
      </w:r>
      <w:r>
        <w:rPr/>
        <w:t>Université</w:t>
      </w:r>
      <w:r>
        <w:rPr>
          <w:spacing w:val="7"/>
        </w:rPr>
        <w:t> </w:t>
      </w:r>
      <w:r>
        <w:rPr/>
        <w:t>Laval,</w:t>
      </w:r>
      <w:r>
        <w:rPr>
          <w:spacing w:val="6"/>
        </w:rPr>
        <w:t> </w:t>
      </w:r>
      <w:r>
        <w:rPr>
          <w:spacing w:val="-4"/>
        </w:rPr>
        <w:t>2015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spacing w:line="261" w:lineRule="auto" w:before="1"/>
        <w:ind w:left="435"/>
      </w:pPr>
      <w:r>
        <w:rPr>
          <w:spacing w:val="-2"/>
          <w:w w:val="105"/>
        </w:rPr>
        <w:t>B.A.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French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Literature,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McGill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University, </w:t>
      </w:r>
      <w:r>
        <w:rPr>
          <w:spacing w:val="-4"/>
          <w:w w:val="105"/>
        </w:rPr>
        <w:t>2013</w:t>
      </w: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261" w:lineRule="auto"/>
        <w:ind w:left="435"/>
      </w:pPr>
      <w:r>
        <w:rPr/>
        <w:t>OTTIAQ Certiﬁed Translator (FR&gt;EN), </w:t>
      </w:r>
      <w:r>
        <w:rPr>
          <w:spacing w:val="-4"/>
        </w:rPr>
        <w:t>2018</w:t>
      </w:r>
    </w:p>
    <w:p>
      <w:pPr>
        <w:pStyle w:val="BodyText"/>
        <w:spacing w:before="133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tabs>
          <w:tab w:pos="732" w:val="left" w:leader="none"/>
        </w:tabs>
        <w:spacing w:line="261" w:lineRule="auto"/>
        <w:ind w:left="73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Language</w:t>
      </w:r>
      <w:r>
        <w:rPr>
          <w:spacing w:val="-14"/>
          <w:w w:val="105"/>
        </w:rPr>
        <w:t> </w:t>
      </w:r>
      <w:r>
        <w:rPr>
          <w:w w:val="105"/>
        </w:rPr>
        <w:t>pairs:</w:t>
      </w:r>
      <w:r>
        <w:rPr>
          <w:spacing w:val="-13"/>
          <w:w w:val="105"/>
        </w:rPr>
        <w:t> </w:t>
      </w:r>
      <w:r>
        <w:rPr>
          <w:w w:val="105"/>
        </w:rPr>
        <w:t>FR&lt;&gt;EN</w:t>
      </w:r>
      <w:r>
        <w:rPr>
          <w:spacing w:val="-13"/>
          <w:w w:val="105"/>
        </w:rPr>
        <w:t> </w:t>
      </w:r>
      <w:r>
        <w:rPr>
          <w:w w:val="105"/>
        </w:rPr>
        <w:t>(native</w:t>
      </w:r>
      <w:r>
        <w:rPr>
          <w:spacing w:val="-13"/>
          <w:w w:val="105"/>
        </w:rPr>
        <w:t> </w:t>
      </w:r>
      <w:r>
        <w:rPr>
          <w:w w:val="105"/>
        </w:rPr>
        <w:t>FR, near-native EN)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26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CAT tools: memoQ, Trados Studio, </w:t>
      </w:r>
      <w:r>
        <w:rPr>
          <w:spacing w:val="-2"/>
        </w:rPr>
        <w:t>Phrase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458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Financial: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annual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reports,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KIIDs, </w:t>
      </w:r>
      <w:r>
        <w:rPr>
          <w:w w:val="105"/>
        </w:rPr>
        <w:t>prospectuses, ESG</w:t>
      </w:r>
    </w:p>
    <w:p>
      <w:pPr>
        <w:pStyle w:val="BodyText"/>
        <w:tabs>
          <w:tab w:pos="732" w:val="left" w:leader="none"/>
        </w:tabs>
        <w:spacing w:before="104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QA:</w:t>
      </w:r>
      <w:r>
        <w:rPr>
          <w:spacing w:val="-12"/>
          <w:w w:val="105"/>
        </w:rPr>
        <w:t> </w:t>
      </w:r>
      <w:r>
        <w:rPr>
          <w:w w:val="105"/>
        </w:rPr>
        <w:t>Xbench,</w:t>
      </w:r>
      <w:r>
        <w:rPr>
          <w:spacing w:val="-9"/>
          <w:w w:val="105"/>
        </w:rPr>
        <w:t> </w:t>
      </w:r>
      <w:r>
        <w:rPr>
          <w:w w:val="105"/>
        </w:rPr>
        <w:t>custom</w:t>
      </w:r>
      <w:r>
        <w:rPr>
          <w:spacing w:val="-9"/>
          <w:w w:val="105"/>
        </w:rPr>
        <w:t> </w:t>
      </w:r>
      <w:r>
        <w:rPr>
          <w:w w:val="105"/>
        </w:rPr>
        <w:t>regex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macros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/>
        <w:t>MTPE</w:t>
      </w:r>
      <w:r>
        <w:rPr>
          <w:spacing w:val="7"/>
        </w:rPr>
        <w:t> </w:t>
      </w:r>
      <w:r>
        <w:rPr/>
        <w:t>workﬂows</w:t>
      </w:r>
      <w:r>
        <w:rPr>
          <w:spacing w:val="8"/>
        </w:rPr>
        <w:t> </w:t>
      </w:r>
      <w:r>
        <w:rPr/>
        <w:t>(DeepL</w:t>
      </w:r>
      <w:r>
        <w:rPr>
          <w:spacing w:val="7"/>
        </w:rPr>
        <w:t> </w:t>
      </w:r>
      <w:r>
        <w:rPr>
          <w:spacing w:val="-4"/>
        </w:rPr>
        <w:t>Pro)</w:t>
      </w:r>
    </w:p>
    <w:p>
      <w:pPr>
        <w:pStyle w:val="BodyText"/>
        <w:tabs>
          <w:tab w:pos="732" w:val="left" w:leader="none"/>
        </w:tabs>
        <w:spacing w:line="278" w:lineRule="auto" w:before="108"/>
        <w:ind w:left="732" w:right="83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Number,</w:t>
      </w:r>
      <w:r>
        <w:rPr>
          <w:spacing w:val="-14"/>
          <w:w w:val="105"/>
        </w:rPr>
        <w:t> </w:t>
      </w:r>
      <w:r>
        <w:rPr>
          <w:w w:val="105"/>
        </w:rPr>
        <w:t>date,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footnote </w:t>
      </w:r>
      <w:r>
        <w:rPr>
          <w:spacing w:val="-2"/>
          <w:w w:val="105"/>
        </w:rPr>
        <w:t>consistency</w:t>
      </w:r>
    </w:p>
    <w:p>
      <w:pPr>
        <w:pStyle w:val="BodyText"/>
        <w:tabs>
          <w:tab w:pos="732" w:val="left" w:leader="none"/>
        </w:tabs>
        <w:spacing w:before="89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House</w:t>
      </w:r>
      <w:r>
        <w:rPr>
          <w:spacing w:val="-8"/>
          <w:w w:val="105"/>
        </w:rPr>
        <w:t> </w:t>
      </w:r>
      <w:r>
        <w:rPr>
          <w:w w:val="105"/>
        </w:rPr>
        <w:t>style</w:t>
      </w:r>
      <w:r>
        <w:rPr>
          <w:spacing w:val="-8"/>
          <w:w w:val="105"/>
        </w:rPr>
        <w:t> </w:t>
      </w:r>
      <w:r>
        <w:rPr>
          <w:w w:val="105"/>
        </w:rPr>
        <w:t>guide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development</w:t>
      </w:r>
    </w:p>
    <w:p>
      <w:pPr>
        <w:pStyle w:val="BodyText"/>
        <w:tabs>
          <w:tab w:pos="732" w:val="left" w:leader="none"/>
        </w:tabs>
        <w:spacing w:line="278" w:lineRule="auto" w:before="108"/>
        <w:ind w:left="732" w:right="49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Vendor</w:t>
      </w:r>
      <w:r>
        <w:rPr>
          <w:spacing w:val="-14"/>
          <w:w w:val="105"/>
        </w:rPr>
        <w:t> </w:t>
      </w:r>
      <w:r>
        <w:rPr>
          <w:w w:val="105"/>
        </w:rPr>
        <w:t>coordination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reporting </w:t>
      </w:r>
      <w:r>
        <w:rPr>
          <w:spacing w:val="-2"/>
          <w:w w:val="105"/>
        </w:rPr>
        <w:t>season</w:t>
      </w:r>
    </w:p>
    <w:p>
      <w:pPr>
        <w:pStyle w:val="BodyText"/>
        <w:spacing w:line="261" w:lineRule="auto" w:before="75"/>
        <w:ind w:left="658" w:right="127"/>
      </w:pPr>
      <w:r>
        <w:rPr/>
        <w:br w:type="column"/>
      </w:r>
      <w:r>
        <w:rPr>
          <w:w w:val="105"/>
        </w:rPr>
        <w:t>Lead</w:t>
      </w:r>
      <w:r>
        <w:rPr>
          <w:spacing w:val="-10"/>
          <w:w w:val="105"/>
        </w:rPr>
        <w:t> </w:t>
      </w:r>
      <w:r>
        <w:rPr>
          <w:w w:val="105"/>
        </w:rPr>
        <w:t>linguist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annual</w:t>
      </w:r>
      <w:r>
        <w:rPr>
          <w:spacing w:val="-10"/>
          <w:w w:val="105"/>
        </w:rPr>
        <w:t> </w:t>
      </w:r>
      <w:r>
        <w:rPr>
          <w:w w:val="105"/>
        </w:rPr>
        <w:t>report</w:t>
      </w:r>
      <w:r>
        <w:rPr>
          <w:spacing w:val="-10"/>
          <w:w w:val="105"/>
        </w:rPr>
        <w:t> </w:t>
      </w:r>
      <w:r>
        <w:rPr>
          <w:w w:val="105"/>
        </w:rPr>
        <w:t>translation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two</w:t>
      </w:r>
      <w:r>
        <w:rPr>
          <w:spacing w:val="-10"/>
          <w:w w:val="105"/>
        </w:rPr>
        <w:t> </w:t>
      </w:r>
      <w:r>
        <w:rPr>
          <w:w w:val="105"/>
        </w:rPr>
        <w:t>CAC</w:t>
      </w:r>
      <w:r>
        <w:rPr>
          <w:spacing w:val="-10"/>
          <w:w w:val="105"/>
        </w:rPr>
        <w:t> </w:t>
      </w:r>
      <w:r>
        <w:rPr>
          <w:w w:val="105"/>
        </w:rPr>
        <w:t>40</w:t>
      </w:r>
      <w:r>
        <w:rPr>
          <w:spacing w:val="-10"/>
          <w:w w:val="105"/>
        </w:rPr>
        <w:t> </w:t>
      </w:r>
      <w:r>
        <w:rPr>
          <w:w w:val="105"/>
        </w:rPr>
        <w:t>issuers, delivering 90 to 120 pages each per cycle.</w:t>
      </w:r>
    </w:p>
    <w:p>
      <w:pPr>
        <w:pStyle w:val="BodyText"/>
        <w:spacing w:line="261" w:lineRule="auto" w:before="103"/>
        <w:ind w:left="658" w:right="127"/>
      </w:pPr>
      <w:r>
        <w:rPr>
          <w:w w:val="105"/>
        </w:rPr>
        <w:t>Built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numbered-footnote</w:t>
      </w:r>
      <w:r>
        <w:rPr>
          <w:spacing w:val="-9"/>
          <w:w w:val="105"/>
        </w:rPr>
        <w:t> </w:t>
      </w:r>
      <w:r>
        <w:rPr>
          <w:w w:val="105"/>
        </w:rPr>
        <w:t>QA</w:t>
      </w:r>
      <w:r>
        <w:rPr>
          <w:spacing w:val="-9"/>
          <w:w w:val="105"/>
        </w:rPr>
        <w:t> </w:t>
      </w:r>
      <w:r>
        <w:rPr>
          <w:w w:val="105"/>
        </w:rPr>
        <w:t>macro</w:t>
      </w:r>
      <w:r>
        <w:rPr>
          <w:spacing w:val="-9"/>
          <w:w w:val="105"/>
        </w:rPr>
        <w:t> </w:t>
      </w:r>
      <w:r>
        <w:rPr>
          <w:w w:val="105"/>
        </w:rPr>
        <w:t>that</w:t>
      </w:r>
      <w:r>
        <w:rPr>
          <w:spacing w:val="-9"/>
          <w:w w:val="105"/>
        </w:rPr>
        <w:t> </w:t>
      </w:r>
      <w:r>
        <w:rPr>
          <w:w w:val="105"/>
        </w:rPr>
        <w:t>ﬂagged</w:t>
      </w:r>
      <w:r>
        <w:rPr>
          <w:spacing w:val="-9"/>
          <w:w w:val="105"/>
        </w:rPr>
        <w:t> </w:t>
      </w:r>
      <w:r>
        <w:rPr>
          <w:w w:val="105"/>
        </w:rPr>
        <w:t>217</w:t>
      </w:r>
      <w:r>
        <w:rPr>
          <w:spacing w:val="-9"/>
          <w:w w:val="105"/>
        </w:rPr>
        <w:t> </w:t>
      </w:r>
      <w:r>
        <w:rPr>
          <w:w w:val="105"/>
        </w:rPr>
        <w:t>reference mismatches across one reporting season.</w:t>
      </w:r>
    </w:p>
    <w:p>
      <w:pPr>
        <w:pStyle w:val="BodyText"/>
        <w:spacing w:line="278" w:lineRule="auto" w:before="104"/>
        <w:ind w:left="658" w:right="127"/>
      </w:pPr>
      <w:r>
        <w:rPr>
          <w:w w:val="105"/>
        </w:rPr>
        <w:t>Coordinate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copyeditors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DTP</w:t>
      </w:r>
      <w:r>
        <w:rPr>
          <w:spacing w:val="-7"/>
          <w:w w:val="105"/>
        </w:rPr>
        <w:t> </w:t>
      </w:r>
      <w:r>
        <w:rPr>
          <w:w w:val="105"/>
        </w:rPr>
        <w:t>vendors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Q4</w:t>
      </w:r>
      <w:r>
        <w:rPr>
          <w:spacing w:val="-7"/>
          <w:w w:val="105"/>
        </w:rPr>
        <w:t> </w:t>
      </w:r>
      <w:r>
        <w:rPr>
          <w:w w:val="105"/>
        </w:rPr>
        <w:t>crunch</w:t>
      </w:r>
      <w:r>
        <w:rPr>
          <w:spacing w:val="-7"/>
          <w:w w:val="105"/>
        </w:rPr>
        <w:t> </w:t>
      </w:r>
      <w:r>
        <w:rPr>
          <w:w w:val="105"/>
        </w:rPr>
        <w:t>projects, typically 4 to 6 concurrent ﬁles.</w:t>
      </w:r>
    </w:p>
    <w:p>
      <w:pPr>
        <w:pStyle w:val="BodyText"/>
        <w:spacing w:line="261" w:lineRule="auto" w:before="90"/>
        <w:ind w:left="658" w:right="127"/>
      </w:pPr>
      <w:r>
        <w:rPr>
          <w:w w:val="105"/>
        </w:rPr>
        <w:t>Handle</w:t>
      </w:r>
      <w:r>
        <w:rPr>
          <w:spacing w:val="-14"/>
          <w:w w:val="105"/>
        </w:rPr>
        <w:t> </w:t>
      </w:r>
      <w:r>
        <w:rPr>
          <w:w w:val="105"/>
        </w:rPr>
        <w:t>MTPE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quarterly</w:t>
      </w:r>
      <w:r>
        <w:rPr>
          <w:spacing w:val="-13"/>
          <w:w w:val="105"/>
        </w:rPr>
        <w:t> </w:t>
      </w:r>
      <w:r>
        <w:rPr>
          <w:w w:val="105"/>
        </w:rPr>
        <w:t>earnings</w:t>
      </w:r>
      <w:r>
        <w:rPr>
          <w:spacing w:val="-13"/>
          <w:w w:val="105"/>
        </w:rPr>
        <w:t> </w:t>
      </w:r>
      <w:r>
        <w:rPr>
          <w:w w:val="105"/>
        </w:rPr>
        <w:t>releases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4-hour</w:t>
      </w:r>
      <w:r>
        <w:rPr>
          <w:spacing w:val="-13"/>
          <w:w w:val="105"/>
        </w:rPr>
        <w:t> </w:t>
      </w:r>
      <w:r>
        <w:rPr>
          <w:w w:val="105"/>
        </w:rPr>
        <w:t>turnaround </w:t>
      </w:r>
      <w:r>
        <w:rPr>
          <w:spacing w:val="-2"/>
          <w:w w:val="105"/>
        </w:rPr>
        <w:t>standard.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331" w:lineRule="auto"/>
        <w:ind w:left="100" w:right="590"/>
      </w:pPr>
      <w:r>
        <w:rPr>
          <w:spacing w:val="-2"/>
          <w:w w:val="105"/>
        </w:rPr>
        <w:t>TRANSLATOR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(FR&gt;EN)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CALYX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LINGUISTIC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BURLINGTON,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VT </w:t>
      </w:r>
      <w:r>
        <w:rPr>
          <w:w w:val="105"/>
        </w:rPr>
        <w:t>2017 – 2020</w:t>
      </w:r>
    </w:p>
    <w:p>
      <w:pPr>
        <w:pStyle w:val="BodyText"/>
        <w:spacing w:line="278" w:lineRule="auto" w:before="194"/>
        <w:ind w:left="658" w:right="669"/>
      </w:pPr>
      <w:r>
        <w:rPr>
          <w:w w:val="105"/>
        </w:rPr>
        <w:t>Translated</w:t>
      </w:r>
      <w:r>
        <w:rPr>
          <w:spacing w:val="-14"/>
          <w:w w:val="105"/>
        </w:rPr>
        <w:t> </w:t>
      </w:r>
      <w:r>
        <w:rPr>
          <w:w w:val="105"/>
        </w:rPr>
        <w:t>investor</w:t>
      </w:r>
      <w:r>
        <w:rPr>
          <w:spacing w:val="-13"/>
          <w:w w:val="105"/>
        </w:rPr>
        <w:t> </w:t>
      </w:r>
      <w:r>
        <w:rPr>
          <w:w w:val="105"/>
        </w:rPr>
        <w:t>presentations,</w:t>
      </w:r>
      <w:r>
        <w:rPr>
          <w:spacing w:val="-13"/>
          <w:w w:val="105"/>
        </w:rPr>
        <w:t> </w:t>
      </w:r>
      <w:r>
        <w:rPr>
          <w:w w:val="105"/>
        </w:rPr>
        <w:t>fund</w:t>
      </w:r>
      <w:r>
        <w:rPr>
          <w:spacing w:val="-13"/>
          <w:w w:val="105"/>
        </w:rPr>
        <w:t> </w:t>
      </w:r>
      <w:r>
        <w:rPr>
          <w:w w:val="105"/>
        </w:rPr>
        <w:t>prospectuses,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KIIDs</w:t>
      </w:r>
      <w:r>
        <w:rPr>
          <w:spacing w:val="-13"/>
          <w:w w:val="105"/>
        </w:rPr>
        <w:t> </w:t>
      </w:r>
      <w:r>
        <w:rPr>
          <w:w w:val="105"/>
        </w:rPr>
        <w:t>for Luxembourg-based asset managers.</w:t>
      </w:r>
    </w:p>
    <w:p>
      <w:pPr>
        <w:pStyle w:val="BodyText"/>
        <w:spacing w:line="278" w:lineRule="auto" w:before="74"/>
        <w:ind w:left="658" w:right="127"/>
      </w:pPr>
      <w:r>
        <w:rPr>
          <w:w w:val="105"/>
        </w:rPr>
        <w:t>Maintained</w:t>
      </w:r>
      <w:r>
        <w:rPr>
          <w:spacing w:val="-10"/>
          <w:w w:val="105"/>
        </w:rPr>
        <w:t> </w:t>
      </w:r>
      <w:r>
        <w:rPr>
          <w:w w:val="105"/>
        </w:rPr>
        <w:t>client</w:t>
      </w:r>
      <w:r>
        <w:rPr>
          <w:spacing w:val="-10"/>
          <w:w w:val="105"/>
        </w:rPr>
        <w:t> </w:t>
      </w:r>
      <w:r>
        <w:rPr>
          <w:w w:val="105"/>
        </w:rPr>
        <w:t>TMs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memoQ</w:t>
      </w:r>
      <w:r>
        <w:rPr>
          <w:spacing w:val="-10"/>
          <w:w w:val="105"/>
        </w:rPr>
        <w:t> </w:t>
      </w:r>
      <w:r>
        <w:rPr>
          <w:w w:val="105"/>
        </w:rPr>
        <w:t>across</w:t>
      </w:r>
      <w:r>
        <w:rPr>
          <w:spacing w:val="-10"/>
          <w:w w:val="105"/>
        </w:rPr>
        <w:t> </w:t>
      </w:r>
      <w:r>
        <w:rPr>
          <w:w w:val="105"/>
        </w:rPr>
        <w:t>14</w:t>
      </w:r>
      <w:r>
        <w:rPr>
          <w:spacing w:val="-10"/>
          <w:w w:val="105"/>
        </w:rPr>
        <w:t> </w:t>
      </w:r>
      <w:r>
        <w:rPr>
          <w:w w:val="105"/>
        </w:rPr>
        <w:t>accounts,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average</w:t>
      </w:r>
      <w:r>
        <w:rPr>
          <w:spacing w:val="-10"/>
          <w:w w:val="105"/>
        </w:rPr>
        <w:t> </w:t>
      </w:r>
      <w:r>
        <w:rPr>
          <w:w w:val="105"/>
        </w:rPr>
        <w:t>reuse rates around 38%.</w:t>
      </w:r>
    </w:p>
    <w:p>
      <w:pPr>
        <w:pStyle w:val="BodyText"/>
        <w:spacing w:line="381" w:lineRule="auto" w:before="90"/>
        <w:ind w:left="658"/>
      </w:pPr>
      <w:r>
        <w:rPr>
          <w:w w:val="105"/>
        </w:rPr>
        <w:t>Wrote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revised</w:t>
      </w:r>
      <w:r>
        <w:rPr>
          <w:spacing w:val="-13"/>
          <w:w w:val="105"/>
        </w:rPr>
        <w:t> </w:t>
      </w:r>
      <w:r>
        <w:rPr>
          <w:w w:val="105"/>
        </w:rPr>
        <w:t>English</w:t>
      </w:r>
      <w:r>
        <w:rPr>
          <w:spacing w:val="-13"/>
          <w:w w:val="105"/>
        </w:rPr>
        <w:t> </w:t>
      </w:r>
      <w:r>
        <w:rPr>
          <w:w w:val="105"/>
        </w:rPr>
        <w:t>style</w:t>
      </w:r>
      <w:r>
        <w:rPr>
          <w:spacing w:val="-13"/>
          <w:w w:val="105"/>
        </w:rPr>
        <w:t> </w:t>
      </w:r>
      <w:r>
        <w:rPr>
          <w:w w:val="105"/>
        </w:rPr>
        <w:t>notes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ﬁrm's</w:t>
      </w:r>
      <w:r>
        <w:rPr>
          <w:spacing w:val="-13"/>
          <w:w w:val="105"/>
        </w:rPr>
        <w:t> </w:t>
      </w:r>
      <w:r>
        <w:rPr>
          <w:w w:val="105"/>
        </w:rPr>
        <w:t>French-to-English</w:t>
      </w:r>
      <w:r>
        <w:rPr>
          <w:spacing w:val="-13"/>
          <w:w w:val="105"/>
        </w:rPr>
        <w:t> </w:t>
      </w:r>
      <w:r>
        <w:rPr>
          <w:w w:val="105"/>
        </w:rPr>
        <w:t>desk. Trained two new in-house linguists on ﬁnancial register and house style.</w:t>
      </w:r>
    </w:p>
    <w:p>
      <w:pPr>
        <w:pStyle w:val="BodyText"/>
        <w:spacing w:before="125"/>
      </w:pPr>
    </w:p>
    <w:p>
      <w:pPr>
        <w:pStyle w:val="BodyText"/>
        <w:spacing w:line="331" w:lineRule="auto"/>
        <w:ind w:left="100" w:right="669"/>
      </w:pPr>
      <w:r>
        <w:rPr>
          <w:spacing w:val="-2"/>
          <w:w w:val="105"/>
        </w:rPr>
        <w:t>FREELANCE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TRANSLATOR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SELF-EMPLOYED,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QUEBEC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CITY,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QC </w:t>
      </w:r>
      <w:r>
        <w:rPr>
          <w:w w:val="105"/>
        </w:rPr>
        <w:t>2015 – 2017</w:t>
      </w:r>
    </w:p>
    <w:p>
      <w:pPr>
        <w:pStyle w:val="BodyText"/>
        <w:spacing w:line="261" w:lineRule="auto" w:before="194"/>
        <w:ind w:left="658" w:right="127"/>
      </w:pPr>
      <w:r>
        <w:rPr>
          <w:w w:val="105"/>
        </w:rPr>
        <w:t>Translated</w:t>
      </w:r>
      <w:r>
        <w:rPr>
          <w:spacing w:val="-13"/>
          <w:w w:val="105"/>
        </w:rPr>
        <w:t> </w:t>
      </w:r>
      <w:r>
        <w:rPr>
          <w:w w:val="105"/>
        </w:rPr>
        <w:t>corporate</w:t>
      </w:r>
      <w:r>
        <w:rPr>
          <w:spacing w:val="-13"/>
          <w:w w:val="105"/>
        </w:rPr>
        <w:t> </w:t>
      </w:r>
      <w:r>
        <w:rPr>
          <w:w w:val="105"/>
        </w:rPr>
        <w:t>websites,</w:t>
      </w:r>
      <w:r>
        <w:rPr>
          <w:spacing w:val="-13"/>
          <w:w w:val="105"/>
        </w:rPr>
        <w:t> </w:t>
      </w:r>
      <w:r>
        <w:rPr>
          <w:w w:val="105"/>
        </w:rPr>
        <w:t>press</w:t>
      </w:r>
      <w:r>
        <w:rPr>
          <w:spacing w:val="-13"/>
          <w:w w:val="105"/>
        </w:rPr>
        <w:t> </w:t>
      </w:r>
      <w:r>
        <w:rPr>
          <w:w w:val="105"/>
        </w:rPr>
        <w:t>releases,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HR</w:t>
      </w:r>
      <w:r>
        <w:rPr>
          <w:spacing w:val="-13"/>
          <w:w w:val="105"/>
        </w:rPr>
        <w:t> </w:t>
      </w:r>
      <w:r>
        <w:rPr>
          <w:w w:val="105"/>
        </w:rPr>
        <w:t>policies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SMB clients across Quebec and northern France.</w:t>
      </w:r>
    </w:p>
    <w:p>
      <w:pPr>
        <w:pStyle w:val="BodyText"/>
        <w:spacing w:line="261" w:lineRule="auto" w:before="103"/>
        <w:ind w:left="658" w:right="127"/>
      </w:pPr>
      <w:r>
        <w:rPr>
          <w:w w:val="105"/>
        </w:rPr>
        <w:t>Averaged</w:t>
      </w:r>
      <w:r>
        <w:rPr>
          <w:spacing w:val="-8"/>
          <w:w w:val="105"/>
        </w:rPr>
        <w:t> </w:t>
      </w:r>
      <w:r>
        <w:rPr>
          <w:w w:val="105"/>
        </w:rPr>
        <w:t>2,800</w:t>
      </w:r>
      <w:r>
        <w:rPr>
          <w:spacing w:val="-8"/>
          <w:w w:val="105"/>
        </w:rPr>
        <w:t> </w:t>
      </w:r>
      <w:r>
        <w:rPr>
          <w:w w:val="105"/>
        </w:rPr>
        <w:t>billable</w:t>
      </w:r>
      <w:r>
        <w:rPr>
          <w:spacing w:val="-8"/>
          <w:w w:val="105"/>
        </w:rPr>
        <w:t> </w:t>
      </w:r>
      <w:r>
        <w:rPr>
          <w:w w:val="105"/>
        </w:rPr>
        <w:t>words</w:t>
      </w:r>
      <w:r>
        <w:rPr>
          <w:spacing w:val="-8"/>
          <w:w w:val="105"/>
        </w:rPr>
        <w:t> </w:t>
      </w:r>
      <w:r>
        <w:rPr>
          <w:w w:val="105"/>
        </w:rPr>
        <w:t>per</w:t>
      </w:r>
      <w:r>
        <w:rPr>
          <w:spacing w:val="-8"/>
          <w:w w:val="105"/>
        </w:rPr>
        <w:t> </w:t>
      </w:r>
      <w:r>
        <w:rPr>
          <w:w w:val="105"/>
        </w:rPr>
        <w:t>day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rolling</w:t>
      </w:r>
      <w:r>
        <w:rPr>
          <w:spacing w:val="-8"/>
          <w:w w:val="105"/>
        </w:rPr>
        <w:t> </w:t>
      </w:r>
      <w:r>
        <w:rPr>
          <w:w w:val="105"/>
        </w:rPr>
        <w:t>MTPE</w:t>
      </w:r>
      <w:r>
        <w:rPr>
          <w:spacing w:val="-8"/>
          <w:w w:val="105"/>
        </w:rPr>
        <w:t> </w:t>
      </w:r>
      <w:r>
        <w:rPr>
          <w:w w:val="105"/>
        </w:rPr>
        <w:t>work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one</w:t>
      </w:r>
      <w:r>
        <w:rPr>
          <w:spacing w:val="-8"/>
          <w:w w:val="105"/>
        </w:rPr>
        <w:t> </w:t>
      </w:r>
      <w:r>
        <w:rPr>
          <w:w w:val="105"/>
        </w:rPr>
        <w:t>large </w:t>
      </w:r>
      <w:r>
        <w:rPr>
          <w:spacing w:val="-4"/>
          <w:w w:val="105"/>
        </w:rPr>
        <w:t>LSP.</w:t>
      </w:r>
    </w:p>
    <w:p>
      <w:pPr>
        <w:pStyle w:val="BodyText"/>
        <w:spacing w:line="278" w:lineRule="auto" w:before="104"/>
        <w:ind w:left="658" w:right="127"/>
      </w:pPr>
      <w:r>
        <w:rPr>
          <w:w w:val="105"/>
        </w:rPr>
        <w:t>Invoiced</w:t>
      </w:r>
      <w:r>
        <w:rPr>
          <w:spacing w:val="-9"/>
          <w:w w:val="105"/>
        </w:rPr>
        <w:t> </w:t>
      </w:r>
      <w:r>
        <w:rPr>
          <w:w w:val="105"/>
        </w:rPr>
        <w:t>approximately</w:t>
      </w:r>
      <w:r>
        <w:rPr>
          <w:spacing w:val="-9"/>
          <w:w w:val="105"/>
        </w:rPr>
        <w:t> </w:t>
      </w:r>
      <w:r>
        <w:rPr>
          <w:w w:val="105"/>
        </w:rPr>
        <w:t>$68,000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ﬁnal</w:t>
      </w:r>
      <w:r>
        <w:rPr>
          <w:spacing w:val="-9"/>
          <w:w w:val="105"/>
        </w:rPr>
        <w:t> </w:t>
      </w:r>
      <w:r>
        <w:rPr>
          <w:w w:val="105"/>
        </w:rPr>
        <w:t>year</w:t>
      </w:r>
      <w:r>
        <w:rPr>
          <w:spacing w:val="-9"/>
          <w:w w:val="105"/>
        </w:rPr>
        <w:t> </w:t>
      </w:r>
      <w:r>
        <w:rPr>
          <w:w w:val="105"/>
        </w:rPr>
        <w:t>before</w:t>
      </w:r>
      <w:r>
        <w:rPr>
          <w:spacing w:val="-9"/>
          <w:w w:val="105"/>
        </w:rPr>
        <w:t> </w:t>
      </w:r>
      <w:r>
        <w:rPr>
          <w:w w:val="105"/>
        </w:rPr>
        <w:t>transitioning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in-</w:t>
      </w:r>
      <w:r>
        <w:rPr>
          <w:spacing w:val="-2"/>
          <w:w w:val="105"/>
        </w:rPr>
        <w:t>house.</w:t>
      </w:r>
    </w:p>
    <w:sectPr>
      <w:type w:val="continuous"/>
      <w:pgSz w:w="11920" w:h="16860"/>
      <w:pgMar w:top="940" w:bottom="280" w:left="141" w:right="425"/>
      <w:cols w:num="2" w:equalWidth="0">
        <w:col w:w="3849" w:space="578"/>
        <w:col w:w="6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tomas.beaulieu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2026-07-06T10:21:04Z</dcterms:created>
  <dcterms:modified xsi:type="dcterms:W3CDTF">2026-07-06T10:21:04Z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