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37"/>
        <w:rPr>
          <w:rFonts w:ascii="Times New Roman"/>
          <w:sz w:val="74"/>
        </w:rPr>
      </w:pPr>
    </w:p>
    <w:p>
      <w:pPr>
        <w:pStyle w:val="Heading1"/>
      </w:pPr>
      <w:r>
        <w:rPr>
          <w:color w:val="21A699"/>
          <w:spacing w:val="9"/>
        </w:rPr>
        <w:t>MARCUS </w:t>
      </w:r>
      <w:r>
        <w:rPr>
          <w:color w:val="21A699"/>
          <w:spacing w:val="-2"/>
        </w:rPr>
        <w:t>BOATENG</w:t>
      </w:r>
    </w:p>
    <w:p>
      <w:pPr>
        <w:pStyle w:val="BodyText"/>
        <w:spacing w:before="158"/>
        <w:ind w:left="4078" w:right="598"/>
        <w:jc w:val="center"/>
      </w:pPr>
      <w:r>
        <w:rPr>
          <w:color w:val="21A699"/>
          <w:w w:val="105"/>
        </w:rPr>
        <w:t>Entry</w:t>
      </w:r>
      <w:r>
        <w:rPr>
          <w:color w:val="21A699"/>
          <w:spacing w:val="12"/>
          <w:w w:val="105"/>
        </w:rPr>
        <w:t> </w:t>
      </w:r>
      <w:r>
        <w:rPr>
          <w:color w:val="21A699"/>
          <w:w w:val="105"/>
        </w:rPr>
        <w:t>Level</w:t>
      </w:r>
      <w:r>
        <w:rPr>
          <w:color w:val="21A699"/>
          <w:spacing w:val="12"/>
          <w:w w:val="105"/>
        </w:rPr>
        <w:t> </w:t>
      </w:r>
      <w:r>
        <w:rPr>
          <w:color w:val="21A699"/>
          <w:w w:val="105"/>
        </w:rPr>
        <w:t>Financial</w:t>
      </w:r>
      <w:r>
        <w:rPr>
          <w:color w:val="21A699"/>
          <w:spacing w:val="1"/>
          <w:w w:val="105"/>
        </w:rPr>
        <w:t> </w:t>
      </w:r>
      <w:r>
        <w:rPr>
          <w:color w:val="21A699"/>
          <w:spacing w:val="-2"/>
          <w:w w:val="105"/>
        </w:rPr>
        <w:t>Analyst</w:t>
      </w:r>
    </w:p>
    <w:p>
      <w:pPr>
        <w:pStyle w:val="BodyText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09"/>
        <w:rPr>
          <w:sz w:val="22"/>
        </w:rPr>
      </w:pPr>
    </w:p>
    <w:p>
      <w:pPr>
        <w:pStyle w:val="Heading2"/>
      </w:pPr>
      <w:r>
        <w:rPr>
          <w:color w:val="21A699"/>
        </w:rPr>
        <w:t>CONTACT</w:t>
      </w:r>
      <w:r>
        <w:rPr>
          <w:color w:val="21A699"/>
          <w:spacing w:val="20"/>
        </w:rPr>
        <w:t> </w:t>
      </w:r>
      <w:r>
        <w:rPr>
          <w:color w:val="21A699"/>
          <w:spacing w:val="-2"/>
        </w:rPr>
        <w:t>INFORMATION</w:t>
      </w:r>
    </w:p>
    <w:p>
      <w:pPr>
        <w:spacing w:line="273" w:lineRule="auto" w:before="79"/>
        <w:ind w:left="114" w:right="1090" w:firstLine="0"/>
        <w:jc w:val="center"/>
        <w:rPr>
          <w:sz w:val="16"/>
        </w:rPr>
      </w:pPr>
      <w:r>
        <w:rPr/>
        <w:br w:type="column"/>
      </w:r>
      <w:r>
        <w:rPr>
          <w:color w:val="21A699"/>
          <w:w w:val="105"/>
          <w:sz w:val="16"/>
        </w:rPr>
        <w:t>Finance graduate (December 2024) with internship experience in corporate</w:t>
      </w:r>
      <w:r>
        <w:rPr>
          <w:color w:val="21A699"/>
          <w:spacing w:val="40"/>
          <w:w w:val="105"/>
          <w:sz w:val="16"/>
        </w:rPr>
        <w:t> </w:t>
      </w:r>
      <w:r>
        <w:rPr>
          <w:color w:val="21A699"/>
          <w:w w:val="105"/>
          <w:sz w:val="16"/>
        </w:rPr>
        <w:t>FP&amp;A and a capstone valuation project on a public retail chain. CFA Level I candidate sitting May 2025; strongest in Excel modeling and pulling clean</w:t>
      </w:r>
      <w:r>
        <w:rPr>
          <w:color w:val="21A699"/>
          <w:spacing w:val="40"/>
          <w:w w:val="105"/>
          <w:sz w:val="16"/>
        </w:rPr>
        <w:t> </w:t>
      </w:r>
      <w:r>
        <w:rPr>
          <w:color w:val="21A699"/>
          <w:w w:val="105"/>
          <w:sz w:val="16"/>
        </w:rPr>
        <w:t>reports out of messy ERP data.</w:t>
      </w:r>
    </w:p>
    <w:p>
      <w:pPr>
        <w:spacing w:after="0" w:line="273" w:lineRule="auto"/>
        <w:jc w:val="center"/>
        <w:rPr>
          <w:sz w:val="16"/>
        </w:rPr>
        <w:sectPr>
          <w:type w:val="continuous"/>
          <w:pgSz w:w="11920" w:h="16860"/>
          <w:pgMar w:top="0" w:bottom="0" w:left="425" w:right="0"/>
          <w:cols w:num="2" w:equalWidth="0">
            <w:col w:w="2916" w:space="1544"/>
            <w:col w:w="7035"/>
          </w:cols>
        </w:sectPr>
      </w:pPr>
    </w:p>
    <w:p>
      <w:pPr>
        <w:pStyle w:val="BodyText"/>
        <w:spacing w:before="12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spacing w:before="75"/>
        <w:ind w:left="8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2647949</wp:posOffset>
                </wp:positionH>
                <wp:positionV relativeFrom="paragraph">
                  <wp:posOffset>-264317</wp:posOffset>
                </wp:positionV>
                <wp:extent cx="4920615" cy="2667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21A699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5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-20.812422pt;width:387.45pt;height:21pt;mso-position-horizontal-relative:page;mso-position-vertical-relative:paragraph;z-index:15729664" type="#_x0000_t202" id="docshape1" filled="true" fillcolor="#21a699" stroked="false"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FFFFFF"/>
          <w:w w:val="105"/>
        </w:rPr>
        <w:t>(614)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0188</w:t>
      </w:r>
    </w:p>
    <w:p>
      <w:pPr>
        <w:pStyle w:val="BodyText"/>
        <w:spacing w:before="65"/>
      </w:pPr>
    </w:p>
    <w:p>
      <w:pPr>
        <w:pStyle w:val="BodyText"/>
        <w:spacing w:line="278" w:lineRule="auto" w:before="1"/>
        <w:ind w:left="820" w:right="95"/>
      </w:pPr>
      <w:hyperlink r:id="rId5">
        <w:r>
          <w:rPr>
            <w:color w:val="FFFFFF"/>
            <w:spacing w:val="-2"/>
          </w:rPr>
          <w:t>marcus.boateng@example.c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6"/>
          <w:w w:val="105"/>
        </w:rPr>
        <w:t>om</w:t>
      </w:r>
    </w:p>
    <w:p>
      <w:pPr>
        <w:pStyle w:val="BodyText"/>
        <w:spacing w:before="32"/>
      </w:pPr>
    </w:p>
    <w:p>
      <w:pPr>
        <w:pStyle w:val="BodyText"/>
        <w:ind w:left="820"/>
      </w:pPr>
      <w:r>
        <w:rPr>
          <w:color w:val="FFFFFF"/>
          <w:w w:val="105"/>
        </w:rPr>
        <w:t>Columbus,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OH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5"/>
      </w:pPr>
    </w:p>
    <w:p>
      <w:pPr>
        <w:pStyle w:val="Heading2"/>
      </w:pPr>
      <w:r>
        <w:rPr>
          <w:color w:val="21A699"/>
        </w:rPr>
        <w:t>KEY</w:t>
      </w:r>
      <w:r>
        <w:rPr>
          <w:color w:val="21A699"/>
          <w:spacing w:val="14"/>
        </w:rPr>
        <w:t> </w:t>
      </w:r>
      <w:r>
        <w:rPr>
          <w:color w:val="21A699"/>
          <w:spacing w:val="-2"/>
        </w:rPr>
        <w:t>SKILLS</w:t>
      </w:r>
    </w:p>
    <w:p>
      <w:pPr>
        <w:pStyle w:val="BodyText"/>
        <w:spacing w:before="161"/>
        <w:rPr>
          <w:b/>
          <w:sz w:val="22"/>
        </w:rPr>
      </w:pPr>
    </w:p>
    <w:p>
      <w:pPr>
        <w:pStyle w:val="BodyText"/>
        <w:spacing w:line="278" w:lineRule="auto" w:before="1"/>
        <w:ind w:left="690"/>
      </w:pPr>
      <w:r>
        <w:rPr>
          <w:color w:val="FFFFFF"/>
          <w:w w:val="105"/>
        </w:rPr>
        <w:t>Excel financial modeling (DCF, comparables, LBO basics)</w:t>
      </w:r>
    </w:p>
    <w:p>
      <w:pPr>
        <w:pStyle w:val="BodyText"/>
        <w:spacing w:line="278" w:lineRule="auto" w:before="74"/>
        <w:ind w:left="690" w:right="95"/>
      </w:pPr>
      <w:r>
        <w:rPr>
          <w:color w:val="FFFFFF"/>
          <w:w w:val="105"/>
        </w:rPr>
        <w:t>NetSuite and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Adaptive </w:t>
      </w:r>
      <w:r>
        <w:rPr>
          <w:color w:val="FFFFFF"/>
          <w:spacing w:val="-2"/>
          <w:w w:val="105"/>
        </w:rPr>
        <w:t>Planning</w:t>
      </w:r>
    </w:p>
    <w:p>
      <w:pPr>
        <w:pStyle w:val="BodyText"/>
        <w:spacing w:line="261" w:lineRule="auto" w:before="90"/>
        <w:ind w:left="690"/>
      </w:pPr>
      <w:r>
        <w:rPr>
          <w:color w:val="FFFFFF"/>
          <w:w w:val="105"/>
        </w:rPr>
        <w:t>PowerPoint and pitch-book </w:t>
      </w:r>
      <w:r>
        <w:rPr>
          <w:color w:val="FFFFFF"/>
          <w:spacing w:val="-2"/>
          <w:w w:val="105"/>
        </w:rPr>
        <w:t>formatting</w:t>
      </w:r>
    </w:p>
    <w:p>
      <w:pPr>
        <w:pStyle w:val="BodyText"/>
        <w:spacing w:line="278" w:lineRule="auto" w:before="104"/>
        <w:ind w:left="690"/>
      </w:pPr>
      <w:r>
        <w:rPr>
          <w:color w:val="FFFFFF"/>
          <w:w w:val="105"/>
        </w:rPr>
        <w:t>Bloomberg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Terminal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(BMC </w:t>
      </w:r>
      <w:r>
        <w:rPr>
          <w:color w:val="FFFFFF"/>
          <w:spacing w:val="-2"/>
          <w:w w:val="105"/>
        </w:rPr>
        <w:t>certified)</w:t>
      </w:r>
    </w:p>
    <w:p>
      <w:pPr>
        <w:pStyle w:val="BodyText"/>
        <w:spacing w:line="278" w:lineRule="auto" w:before="75"/>
        <w:ind w:left="690"/>
      </w:pPr>
      <w:r>
        <w:rPr>
          <w:color w:val="FFFFFF"/>
          <w:w w:val="105"/>
        </w:rPr>
        <w:t>Variance analysis and flash </w:t>
      </w:r>
      <w:r>
        <w:rPr>
          <w:color w:val="FFFFFF"/>
          <w:spacing w:val="-2"/>
          <w:w w:val="105"/>
        </w:rPr>
        <w:t>reporting</w:t>
      </w:r>
    </w:p>
    <w:p>
      <w:pPr>
        <w:pStyle w:val="BodyText"/>
        <w:spacing w:line="261" w:lineRule="auto" w:before="90"/>
        <w:ind w:left="690"/>
      </w:pPr>
      <w:r>
        <w:rPr>
          <w:color w:val="FFFFFF"/>
          <w:w w:val="105"/>
        </w:rPr>
        <w:t>Capital IQ and FactSet </w:t>
      </w:r>
      <w:r>
        <w:rPr>
          <w:color w:val="FFFFFF"/>
          <w:spacing w:val="-2"/>
          <w:w w:val="105"/>
        </w:rPr>
        <w:t>(coursework)</w:t>
      </w:r>
    </w:p>
    <w:p>
      <w:pPr>
        <w:pStyle w:val="BodyText"/>
        <w:spacing w:line="381" w:lineRule="auto" w:before="103"/>
        <w:ind w:left="690" w:right="472"/>
      </w:pPr>
      <w:r>
        <w:rPr>
          <w:color w:val="FFFFFF"/>
          <w:w w:val="105"/>
        </w:rPr>
        <w:t>Basic SQL and VBA Equity research writing</w:t>
      </w:r>
    </w:p>
    <w:p>
      <w:pPr>
        <w:pStyle w:val="BodyText"/>
        <w:spacing w:before="165"/>
        <w:ind w:left="114"/>
      </w:pPr>
      <w:r>
        <w:rPr/>
        <w:br w:type="column"/>
      </w:r>
      <w:r>
        <w:rPr>
          <w:w w:val="105"/>
        </w:rPr>
        <w:t>May</w:t>
      </w:r>
      <w:r>
        <w:rPr>
          <w:spacing w:val="8"/>
          <w:w w:val="105"/>
        </w:rPr>
        <w:t> </w:t>
      </w:r>
      <w:r>
        <w:rPr>
          <w:w w:val="105"/>
        </w:rPr>
        <w:t>2024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8"/>
          <w:w w:val="105"/>
        </w:rPr>
        <w:t> </w:t>
      </w:r>
      <w:r>
        <w:rPr>
          <w:w w:val="105"/>
        </w:rPr>
        <w:t>Dec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78"/>
        <w:ind w:left="114"/>
      </w:pPr>
      <w:r>
        <w:rPr>
          <w:w w:val="105"/>
        </w:rPr>
        <w:t>FP&amp;A</w:t>
      </w:r>
      <w:r>
        <w:rPr>
          <w:spacing w:val="-2"/>
          <w:w w:val="105"/>
        </w:rPr>
        <w:t> </w:t>
      </w:r>
      <w:r>
        <w:rPr>
          <w:w w:val="105"/>
        </w:rPr>
        <w:t>Intern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Keystone</w:t>
      </w:r>
      <w:r>
        <w:rPr>
          <w:spacing w:val="8"/>
          <w:w w:val="105"/>
        </w:rPr>
        <w:t> </w:t>
      </w:r>
      <w:r>
        <w:rPr>
          <w:w w:val="105"/>
        </w:rPr>
        <w:t>Outdoor</w:t>
      </w:r>
      <w:r>
        <w:rPr>
          <w:spacing w:val="10"/>
          <w:w w:val="105"/>
        </w:rPr>
        <w:t> </w:t>
      </w:r>
      <w:r>
        <w:rPr>
          <w:w w:val="105"/>
        </w:rPr>
        <w:t>Brands,</w:t>
      </w:r>
      <w:r>
        <w:rPr>
          <w:spacing w:val="9"/>
          <w:w w:val="105"/>
        </w:rPr>
        <w:t> </w:t>
      </w:r>
      <w:r>
        <w:rPr>
          <w:w w:val="105"/>
        </w:rPr>
        <w:t>Columbus,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tabs>
          <w:tab w:pos="895" w:val="left" w:leader="none"/>
        </w:tabs>
        <w:spacing w:line="278" w:lineRule="auto" w:before="153"/>
        <w:ind w:left="895" w:right="269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Owned</w:t>
      </w:r>
      <w:r>
        <w:rPr>
          <w:spacing w:val="17"/>
          <w:w w:val="105"/>
        </w:rPr>
        <w:t> </w:t>
      </w:r>
      <w:r>
        <w:rPr>
          <w:w w:val="105"/>
        </w:rPr>
        <w:t>the</w:t>
      </w:r>
      <w:r>
        <w:rPr>
          <w:spacing w:val="17"/>
          <w:w w:val="105"/>
        </w:rPr>
        <w:t> </w:t>
      </w:r>
      <w:r>
        <w:rPr>
          <w:w w:val="105"/>
        </w:rPr>
        <w:t>weekly</w:t>
      </w:r>
      <w:r>
        <w:rPr>
          <w:spacing w:val="17"/>
          <w:w w:val="105"/>
        </w:rPr>
        <w:t> </w:t>
      </w:r>
      <w:r>
        <w:rPr>
          <w:w w:val="105"/>
        </w:rPr>
        <w:t>sales</w:t>
      </w:r>
      <w:r>
        <w:rPr>
          <w:spacing w:val="17"/>
          <w:w w:val="105"/>
        </w:rPr>
        <w:t> </w:t>
      </w:r>
      <w:r>
        <w:rPr>
          <w:w w:val="105"/>
        </w:rPr>
        <w:t>flash</w:t>
      </w:r>
      <w:r>
        <w:rPr>
          <w:spacing w:val="17"/>
          <w:w w:val="105"/>
        </w:rPr>
        <w:t> </w:t>
      </w:r>
      <w:r>
        <w:rPr>
          <w:w w:val="105"/>
        </w:rPr>
        <w:t>report</w:t>
      </w:r>
      <w:r>
        <w:rPr>
          <w:spacing w:val="17"/>
          <w:w w:val="105"/>
        </w:rPr>
        <w:t> </w:t>
      </w:r>
      <w:r>
        <w:rPr>
          <w:w w:val="105"/>
        </w:rPr>
        <w:t>covering</w:t>
      </w:r>
      <w:r>
        <w:rPr>
          <w:spacing w:val="17"/>
          <w:w w:val="105"/>
        </w:rPr>
        <w:t> </w:t>
      </w:r>
      <w:r>
        <w:rPr>
          <w:w w:val="105"/>
        </w:rPr>
        <w:t>12</w:t>
      </w:r>
      <w:r>
        <w:rPr>
          <w:spacing w:val="17"/>
          <w:w w:val="105"/>
        </w:rPr>
        <w:t> </w:t>
      </w:r>
      <w:r>
        <w:rPr>
          <w:w w:val="105"/>
        </w:rPr>
        <w:t>retail</w:t>
      </w:r>
      <w:r>
        <w:rPr>
          <w:spacing w:val="17"/>
          <w:w w:val="105"/>
        </w:rPr>
        <w:t> </w:t>
      </w:r>
      <w:r>
        <w:rPr>
          <w:w w:val="105"/>
        </w:rPr>
        <w:t>regions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spacing w:val="17"/>
          <w:w w:val="105"/>
        </w:rPr>
        <w:t> </w:t>
      </w:r>
      <w:r>
        <w:rPr>
          <w:w w:val="105"/>
        </w:rPr>
        <w:t>emailed it to the VP of Finance every Tuesday by 9am.</w:t>
      </w:r>
    </w:p>
    <w:p>
      <w:pPr>
        <w:pStyle w:val="BodyText"/>
        <w:tabs>
          <w:tab w:pos="895" w:val="left" w:leader="none"/>
        </w:tabs>
        <w:spacing w:line="268" w:lineRule="auto" w:before="89"/>
        <w:ind w:left="895" w:right="683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Reduced manual data pulls from NetSuite by writing a saved-search template the team still uses, saving about 5 hours per week across the FP&amp;A group.</w:t>
      </w:r>
    </w:p>
    <w:p>
      <w:pPr>
        <w:pStyle w:val="BodyText"/>
        <w:tabs>
          <w:tab w:pos="895" w:val="left" w:leader="none"/>
        </w:tabs>
        <w:spacing w:line="261" w:lineRule="auto" w:before="100"/>
        <w:ind w:left="895" w:right="417" w:hanging="30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Built a scenario model showing a 3-cent fuel surcharge swing translated to</w:t>
      </w:r>
      <w:r>
        <w:rPr>
          <w:spacing w:val="40"/>
          <w:w w:val="105"/>
        </w:rPr>
        <w:t> </w:t>
      </w:r>
      <w:r>
        <w:rPr>
          <w:w w:val="105"/>
        </w:rPr>
        <w:t>roughly $612,000 in annual freight cost.</w:t>
      </w:r>
    </w:p>
    <w:p>
      <w:pPr>
        <w:pStyle w:val="BodyText"/>
        <w:tabs>
          <w:tab w:pos="895" w:val="left" w:leader="none"/>
        </w:tabs>
        <w:spacing w:line="261" w:lineRule="auto" w:before="104"/>
        <w:ind w:left="895" w:right="977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Helped the senior analyst load the 2025 opex budget into Adaptive Planning and reconciled it back to GL actuals.</w:t>
      </w:r>
    </w:p>
    <w:p>
      <w:pPr>
        <w:pStyle w:val="BodyText"/>
        <w:spacing w:before="179"/>
        <w:ind w:left="114"/>
      </w:pPr>
      <w:r>
        <w:rPr>
          <w:w w:val="105"/>
        </w:rPr>
        <w:t>Jan</w:t>
      </w:r>
      <w:r>
        <w:rPr>
          <w:spacing w:val="8"/>
          <w:w w:val="105"/>
        </w:rPr>
        <w:t> </w:t>
      </w:r>
      <w:r>
        <w:rPr>
          <w:w w:val="105"/>
        </w:rPr>
        <w:t>2024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w w:val="105"/>
        </w:rPr>
        <w:t>Dec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line="278" w:lineRule="auto" w:before="78"/>
        <w:ind w:left="114" w:right="683"/>
      </w:pPr>
      <w:r>
        <w:rPr>
          <w:w w:val="105"/>
        </w:rPr>
        <w:t>Student Investment Fund, Junior Analyst | Fisher College Student Managed Investment Fund, Columbus, OH</w:t>
      </w:r>
    </w:p>
    <w:p>
      <w:pPr>
        <w:pStyle w:val="BodyText"/>
        <w:tabs>
          <w:tab w:pos="895" w:val="left" w:leader="none"/>
        </w:tabs>
        <w:spacing w:line="278" w:lineRule="auto" w:before="119"/>
        <w:ind w:left="895" w:right="417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Pitched a long position on a mid-cap industrial; fund voted to take a 2.4%</w:t>
      </w:r>
      <w:r>
        <w:rPr>
          <w:spacing w:val="40"/>
          <w:w w:val="105"/>
        </w:rPr>
        <w:t> </w:t>
      </w:r>
      <w:r>
        <w:rPr>
          <w:w w:val="105"/>
        </w:rPr>
        <w:t>position that returned about 18% over the holding period.</w:t>
      </w:r>
    </w:p>
    <w:p>
      <w:pPr>
        <w:pStyle w:val="BodyText"/>
        <w:tabs>
          <w:tab w:pos="895" w:val="left" w:leader="none"/>
        </w:tabs>
        <w:spacing w:line="261" w:lineRule="auto" w:before="90"/>
        <w:ind w:left="895" w:right="269" w:hanging="304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Built three-statement models for 4 coverage names in the consumer staples </w:t>
      </w:r>
      <w:r>
        <w:rPr>
          <w:spacing w:val="-2"/>
          <w:w w:val="105"/>
        </w:rPr>
        <w:t>sector.</w:t>
      </w:r>
    </w:p>
    <w:p>
      <w:pPr>
        <w:pStyle w:val="BodyText"/>
        <w:tabs>
          <w:tab w:pos="895" w:val="left" w:leader="none"/>
        </w:tabs>
        <w:spacing w:before="104"/>
        <w:ind w:left="592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Wrote</w:t>
      </w:r>
      <w:r>
        <w:rPr>
          <w:spacing w:val="15"/>
          <w:w w:val="105"/>
        </w:rPr>
        <w:t> </w:t>
      </w:r>
      <w:r>
        <w:rPr>
          <w:w w:val="105"/>
        </w:rPr>
        <w:t>weekly</w:t>
      </w:r>
      <w:r>
        <w:rPr>
          <w:spacing w:val="16"/>
          <w:w w:val="105"/>
        </w:rPr>
        <w:t> </w:t>
      </w:r>
      <w:r>
        <w:rPr>
          <w:w w:val="105"/>
        </w:rPr>
        <w:t>market</w:t>
      </w:r>
      <w:r>
        <w:rPr>
          <w:spacing w:val="16"/>
          <w:w w:val="105"/>
        </w:rPr>
        <w:t> </w:t>
      </w:r>
      <w:r>
        <w:rPr>
          <w:w w:val="105"/>
        </w:rPr>
        <w:t>recaps</w:t>
      </w:r>
      <w:r>
        <w:rPr>
          <w:spacing w:val="16"/>
          <w:w w:val="105"/>
        </w:rPr>
        <w:t> </w:t>
      </w:r>
      <w:r>
        <w:rPr>
          <w:w w:val="105"/>
        </w:rPr>
        <w:t>distributed</w:t>
      </w:r>
      <w:r>
        <w:rPr>
          <w:spacing w:val="16"/>
          <w:w w:val="105"/>
        </w:rPr>
        <w:t> </w:t>
      </w:r>
      <w:r>
        <w:rPr>
          <w:w w:val="105"/>
        </w:rPr>
        <w:t>to</w:t>
      </w:r>
      <w:r>
        <w:rPr>
          <w:spacing w:val="16"/>
          <w:w w:val="105"/>
        </w:rPr>
        <w:t> </w:t>
      </w:r>
      <w:r>
        <w:rPr>
          <w:w w:val="105"/>
        </w:rPr>
        <w:t>the</w:t>
      </w:r>
      <w:r>
        <w:rPr>
          <w:spacing w:val="16"/>
          <w:w w:val="105"/>
        </w:rPr>
        <w:t> </w:t>
      </w:r>
      <w:r>
        <w:rPr>
          <w:w w:val="105"/>
        </w:rPr>
        <w:t>22-member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fund.</w:t>
      </w:r>
    </w:p>
    <w:p>
      <w:pPr>
        <w:pStyle w:val="BodyText"/>
        <w:spacing w:before="198"/>
        <w:ind w:left="114"/>
      </w:pPr>
      <w:r>
        <w:rPr>
          <w:w w:val="105"/>
        </w:rPr>
        <w:t>Sep</w:t>
      </w:r>
      <w:r>
        <w:rPr>
          <w:spacing w:val="6"/>
          <w:w w:val="105"/>
        </w:rPr>
        <w:t> </w:t>
      </w:r>
      <w:r>
        <w:rPr>
          <w:w w:val="105"/>
        </w:rPr>
        <w:t>2022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w w:val="105"/>
        </w:rPr>
        <w:t>Apr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78"/>
        <w:ind w:left="114"/>
      </w:pPr>
      <w:r>
        <w:rPr>
          <w:w w:val="105"/>
        </w:rPr>
        <w:t>Accounts</w:t>
      </w:r>
      <w:r>
        <w:rPr>
          <w:spacing w:val="10"/>
          <w:w w:val="105"/>
        </w:rPr>
        <w:t> </w:t>
      </w:r>
      <w:r>
        <w:rPr>
          <w:w w:val="105"/>
        </w:rPr>
        <w:t>Receivable</w:t>
      </w:r>
      <w:r>
        <w:rPr>
          <w:spacing w:val="10"/>
          <w:w w:val="105"/>
        </w:rPr>
        <w:t> </w:t>
      </w:r>
      <w:r>
        <w:rPr>
          <w:w w:val="105"/>
        </w:rPr>
        <w:t>Clerk</w:t>
      </w:r>
      <w:r>
        <w:rPr>
          <w:spacing w:val="11"/>
          <w:w w:val="105"/>
        </w:rPr>
        <w:t> </w:t>
      </w:r>
      <w:r>
        <w:rPr>
          <w:w w:val="105"/>
        </w:rPr>
        <w:t>(Part-Time)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11"/>
          <w:w w:val="105"/>
        </w:rPr>
        <w:t> </w:t>
      </w:r>
      <w:r>
        <w:rPr>
          <w:w w:val="105"/>
        </w:rPr>
        <w:t>Whitcombe</w:t>
      </w:r>
      <w:r>
        <w:rPr>
          <w:spacing w:val="-1"/>
          <w:w w:val="105"/>
        </w:rPr>
        <w:t> </w:t>
      </w:r>
      <w:r>
        <w:rPr>
          <w:w w:val="105"/>
        </w:rPr>
        <w:t>Auto</w:t>
      </w:r>
      <w:r>
        <w:rPr>
          <w:spacing w:val="10"/>
          <w:w w:val="105"/>
        </w:rPr>
        <w:t> </w:t>
      </w:r>
      <w:r>
        <w:rPr>
          <w:w w:val="105"/>
        </w:rPr>
        <w:t>Group,</w:t>
      </w:r>
      <w:r>
        <w:rPr>
          <w:spacing w:val="10"/>
          <w:w w:val="105"/>
        </w:rPr>
        <w:t> </w:t>
      </w:r>
      <w:r>
        <w:rPr>
          <w:w w:val="105"/>
        </w:rPr>
        <w:t>Worthington,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tabs>
          <w:tab w:pos="895" w:val="left" w:leader="none"/>
        </w:tabs>
        <w:spacing w:line="278" w:lineRule="auto" w:before="153"/>
        <w:ind w:left="895" w:right="377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Posted</w:t>
      </w:r>
      <w:r>
        <w:rPr>
          <w:spacing w:val="17"/>
          <w:w w:val="105"/>
        </w:rPr>
        <w:t> </w:t>
      </w:r>
      <w:r>
        <w:rPr>
          <w:w w:val="105"/>
        </w:rPr>
        <w:t>customer</w:t>
      </w:r>
      <w:r>
        <w:rPr>
          <w:spacing w:val="17"/>
          <w:w w:val="105"/>
        </w:rPr>
        <w:t> </w:t>
      </w:r>
      <w:r>
        <w:rPr>
          <w:w w:val="105"/>
        </w:rPr>
        <w:t>payments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spacing w:val="17"/>
          <w:w w:val="105"/>
        </w:rPr>
        <w:t> </w:t>
      </w:r>
      <w:r>
        <w:rPr>
          <w:w w:val="105"/>
        </w:rPr>
        <w:t>reconciled</w:t>
      </w:r>
      <w:r>
        <w:rPr>
          <w:spacing w:val="17"/>
          <w:w w:val="105"/>
        </w:rPr>
        <w:t> </w:t>
      </w:r>
      <w:r>
        <w:rPr>
          <w:w w:val="105"/>
        </w:rPr>
        <w:t>the</w:t>
      </w:r>
      <w:r>
        <w:rPr>
          <w:spacing w:val="17"/>
          <w:w w:val="105"/>
        </w:rPr>
        <w:t> </w:t>
      </w:r>
      <w:r>
        <w:rPr>
          <w:w w:val="105"/>
        </w:rPr>
        <w:t>AR</w:t>
      </w:r>
      <w:r>
        <w:rPr>
          <w:spacing w:val="17"/>
          <w:w w:val="105"/>
        </w:rPr>
        <w:t> </w:t>
      </w:r>
      <w:r>
        <w:rPr>
          <w:w w:val="105"/>
        </w:rPr>
        <w:t>subledger</w:t>
      </w:r>
      <w:r>
        <w:rPr>
          <w:spacing w:val="17"/>
          <w:w w:val="105"/>
        </w:rPr>
        <w:t> </w:t>
      </w:r>
      <w:r>
        <w:rPr>
          <w:w w:val="105"/>
        </w:rPr>
        <w:t>to</w:t>
      </w:r>
      <w:r>
        <w:rPr>
          <w:spacing w:val="17"/>
          <w:w w:val="105"/>
        </w:rPr>
        <w:t> </w:t>
      </w:r>
      <w:r>
        <w:rPr>
          <w:w w:val="105"/>
        </w:rPr>
        <w:t>the</w:t>
      </w:r>
      <w:r>
        <w:rPr>
          <w:spacing w:val="17"/>
          <w:w w:val="105"/>
        </w:rPr>
        <w:t> </w:t>
      </w:r>
      <w:r>
        <w:rPr>
          <w:w w:val="105"/>
        </w:rPr>
        <w:t>GL</w:t>
      </w:r>
      <w:r>
        <w:rPr>
          <w:spacing w:val="17"/>
          <w:w w:val="105"/>
        </w:rPr>
        <w:t> </w:t>
      </w:r>
      <w:r>
        <w:rPr>
          <w:w w:val="105"/>
        </w:rPr>
        <w:t>on a daily basis.</w:t>
      </w:r>
    </w:p>
    <w:p>
      <w:pPr>
        <w:pStyle w:val="BodyText"/>
        <w:tabs>
          <w:tab w:pos="895" w:val="left" w:leader="none"/>
        </w:tabs>
        <w:spacing w:line="278" w:lineRule="auto" w:before="75"/>
        <w:ind w:left="895" w:right="977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Cleared a backlog of 140+ unapplied cash items during my first two</w:t>
      </w:r>
      <w:r>
        <w:rPr>
          <w:spacing w:val="40"/>
          <w:w w:val="105"/>
        </w:rPr>
        <w:t> </w:t>
      </w:r>
      <w:r>
        <w:rPr>
          <w:w w:val="105"/>
        </w:rPr>
        <w:t>months on the job.</w:t>
      </w:r>
    </w:p>
    <w:p>
      <w:pPr>
        <w:pStyle w:val="BodyText"/>
        <w:tabs>
          <w:tab w:pos="895" w:val="left" w:leader="none"/>
        </w:tabs>
        <w:spacing w:line="261" w:lineRule="auto" w:before="90"/>
        <w:ind w:left="895" w:right="417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Worked alongside the controller during month-end close and learned how journal entries actually flow.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425" w:right="0"/>
          <w:cols w:num="2" w:equalWidth="0">
            <w:col w:w="3359" w:space="453"/>
            <w:col w:w="7683"/>
          </w:cols>
        </w:sectPr>
      </w:pPr>
    </w:p>
    <w:p>
      <w:pPr>
        <w:pStyle w:val="BodyText"/>
        <w:spacing w:before="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714875"/>
                                </a:moveTo>
                                <a:lnTo>
                                  <a:pt x="0" y="4714875"/>
                                </a:lnTo>
                                <a:lnTo>
                                  <a:pt x="0" y="994410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9944100"/>
                                </a:lnTo>
                                <a:lnTo>
                                  <a:pt x="2571737" y="47148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24175"/>
                                </a:moveTo>
                                <a:lnTo>
                                  <a:pt x="0" y="2924175"/>
                                </a:lnTo>
                                <a:lnTo>
                                  <a:pt x="0" y="4457700"/>
                                </a:lnTo>
                                <a:lnTo>
                                  <a:pt x="2571737" y="4457700"/>
                                </a:lnTo>
                                <a:lnTo>
                                  <a:pt x="2571737" y="29241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2666999"/>
                            <a:ext cx="2571750" cy="204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047875">
                                <a:moveTo>
                                  <a:pt x="2571737" y="1790700"/>
                                </a:moveTo>
                                <a:lnTo>
                                  <a:pt x="0" y="1790700"/>
                                </a:lnTo>
                                <a:lnTo>
                                  <a:pt x="0" y="2047875"/>
                                </a:lnTo>
                                <a:lnTo>
                                  <a:pt x="2571737" y="2047875"/>
                                </a:lnTo>
                                <a:lnTo>
                                  <a:pt x="2571737" y="1790700"/>
                                </a:lnTo>
                                <a:close/>
                              </a:path>
                              <a:path w="2571750" h="204787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2571737" y="25717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549274"/>
                            <a:ext cx="1847849" cy="1841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5" y="31432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524250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3914774"/>
                            <a:ext cx="16139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523862" y="4972049"/>
                            <a:ext cx="47625" cy="2390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390775">
                                <a:moveTo>
                                  <a:pt x="47625" y="2363622"/>
                                </a:moveTo>
                                <a:lnTo>
                                  <a:pt x="27165" y="2343150"/>
                                </a:lnTo>
                                <a:lnTo>
                                  <a:pt x="20472" y="2343150"/>
                                </a:lnTo>
                                <a:lnTo>
                                  <a:pt x="0" y="2363622"/>
                                </a:lnTo>
                                <a:lnTo>
                                  <a:pt x="0" y="2367191"/>
                                </a:lnTo>
                                <a:lnTo>
                                  <a:pt x="0" y="2370315"/>
                                </a:lnTo>
                                <a:lnTo>
                                  <a:pt x="20472" y="2390775"/>
                                </a:lnTo>
                                <a:lnTo>
                                  <a:pt x="27165" y="2390775"/>
                                </a:lnTo>
                                <a:lnTo>
                                  <a:pt x="47625" y="2370315"/>
                                </a:lnTo>
                                <a:lnTo>
                                  <a:pt x="47625" y="2363622"/>
                                </a:lnTo>
                                <a:close/>
                              </a:path>
                              <a:path w="47625" h="239077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2390775">
                                <a:moveTo>
                                  <a:pt x="47625" y="1801647"/>
                                </a:moveTo>
                                <a:lnTo>
                                  <a:pt x="27165" y="1781175"/>
                                </a:lnTo>
                                <a:lnTo>
                                  <a:pt x="20472" y="1781175"/>
                                </a:lnTo>
                                <a:lnTo>
                                  <a:pt x="0" y="1801647"/>
                                </a:lnTo>
                                <a:lnTo>
                                  <a:pt x="0" y="1805216"/>
                                </a:lnTo>
                                <a:lnTo>
                                  <a:pt x="0" y="1808340"/>
                                </a:lnTo>
                                <a:lnTo>
                                  <a:pt x="20472" y="1828800"/>
                                </a:lnTo>
                                <a:lnTo>
                                  <a:pt x="27165" y="1828800"/>
                                </a:lnTo>
                                <a:lnTo>
                                  <a:pt x="47625" y="1808340"/>
                                </a:lnTo>
                                <a:lnTo>
                                  <a:pt x="47625" y="1801647"/>
                                </a:lnTo>
                                <a:close/>
                              </a:path>
                              <a:path w="47625" h="2390775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47625" h="239077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239077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239077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3907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90592" id="docshapegroup2" coordorigin="0,0" coordsize="4050,16860">
                <v:shape style="position:absolute;left:0;top:0;width:4050;height:16860" id="docshape3" coordorigin="0,0" coordsize="4050,16860" path="m4050,7425l0,7425,0,15660,0,16860,4050,16860,4050,15660,4050,7425xm4050,4605l0,4605,0,7020,4050,7020,4050,4605xm4050,0l0,0,0,4110,0,4200,4050,4200,4050,4110,4050,0xe" filled="true" fillcolor="#21a699" stroked="false">
                  <v:path arrowok="t"/>
                  <v:fill type="solid"/>
                </v:shape>
                <v:shape style="position:absolute;left:0;top:4200;width:4050;height:3225" id="docshape4" coordorigin="0,4200" coordsize="4050,3225" path="m4050,7020l0,7020,0,7425,4050,7425,4050,7020xm4050,4200l0,4200,0,4605,4050,4605,4050,4200xe" filled="true" fillcolor="#f4cccc" stroked="false">
                  <v:path arrowok="t"/>
                  <v:fill type="solid"/>
                </v:shape>
                <v:shape style="position:absolute;left:510;top:795;width:3045;height:3045" id="docshape5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570;top:865;width:2910;height:2900" type="#_x0000_t75" id="docshape6" stroked="false">
                  <v:imagedata r:id="rId9" o:title=""/>
                </v:shape>
                <v:shape style="position:absolute;left:825;top:4950;width:255;height:255" type="#_x0000_t75" id="docshape7" stroked="false">
                  <v:imagedata r:id="rId10" o:title=""/>
                </v:shape>
                <v:shape style="position:absolute;left:842;top:5550;width:226;height:261" type="#_x0000_t75" id="docshape8" stroked="false">
                  <v:imagedata r:id="rId11" o:title=""/>
                </v:shape>
                <v:shape style="position:absolute;left:825;top:6165;width:255;height:255" type="#_x0000_t75" id="docshape9" stroked="false">
                  <v:imagedata r:id="rId12" o:title=""/>
                </v:shape>
                <v:shape style="position:absolute;left:824;top:7830;width:75;height:3765" id="docshape10" coordorigin="825,7830" coordsize="75,3765" path="m900,11552l899,11547,895,11538,893,11534,886,11527,882,11525,873,11521,868,11520,857,11520,852,11521,843,11525,839,11527,832,11534,830,11538,826,11547,825,11552,825,11558,825,11563,826,11568,830,11577,832,11581,839,11588,843,11590,852,11594,857,11595,868,11595,873,11594,882,11590,886,11588,893,11581,895,11577,899,11568,900,11563,900,11552xm900,11222l899,11217,895,11208,893,11204,886,11197,882,11195,873,11191,868,11190,857,11190,852,11191,843,11195,839,11197,832,11204,830,11208,826,11217,825,11222,825,11228,825,11233,826,11238,830,11247,832,11251,839,11258,843,11260,852,11264,857,11265,868,11265,873,11264,882,11260,886,11258,893,11251,895,11247,899,11238,900,11233,900,11222xm900,10667l899,10662,895,10653,893,10649,886,10642,882,10640,873,10636,868,10635,857,10635,852,10636,843,10640,839,10642,832,10649,830,10653,826,10662,825,10667,825,10673,825,10678,826,10683,830,10692,832,10696,839,10703,843,10705,852,10709,857,10710,868,10710,873,10709,882,10705,886,10703,893,10696,895,10692,899,10683,900,10678,900,10667xm900,10097l899,10092,895,10083,893,10079,886,10072,882,10070,873,10066,868,10065,857,10065,852,10066,843,10070,839,10072,832,10079,830,10083,826,10092,825,10097,825,10103,825,10108,826,10113,830,10122,832,10126,839,10133,843,10135,852,10139,857,10140,868,10140,873,10139,882,10135,886,10133,893,10126,895,10122,899,10113,900,10108,900,10097xm900,9542l899,9537,895,9528,893,9524,886,9517,882,9515,873,9511,868,9510,857,9510,852,9511,843,9515,839,9517,832,9524,830,9528,826,9537,825,9542,825,9548,825,9553,826,9558,830,9567,832,9571,839,9578,843,9580,852,9584,857,9585,868,9585,873,9584,882,9580,886,9578,893,9571,895,9567,899,9558,900,9553,900,9542xm900,8987l899,8982,895,8973,893,8969,886,8962,882,8960,873,8956,868,8955,857,8955,852,8956,843,8960,839,8962,832,8969,830,8973,826,8982,825,8987,825,8993,825,8998,826,9003,830,9012,832,9016,839,9023,843,9025,852,9029,857,9030,868,9030,873,9029,882,9025,886,9023,893,9016,895,9012,899,9003,900,8998,900,8987xm900,8417l899,8412,895,8403,893,8399,886,8392,882,8390,873,8386,868,8385,857,8385,852,8386,843,8390,839,8392,832,8399,830,8403,826,8412,825,8417,825,8423,825,8428,826,8433,830,8442,832,8446,839,8453,843,8455,852,8459,857,8460,868,8460,873,8459,882,8455,886,8453,893,8446,895,8442,899,8433,900,8428,900,8417xm900,7862l899,7857,895,7848,893,7844,886,7837,882,7835,873,7831,868,7830,857,7830,852,7831,843,7835,839,7837,832,7844,830,7848,826,7857,825,7862,825,7868,825,7873,826,7878,830,7887,832,7891,839,7898,843,7900,852,7904,857,7905,868,7905,873,7904,882,7900,886,7898,893,7891,895,7887,899,7878,900,7873,900,786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3745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57175"/>
                <wp:effectExtent l="0" t="0" r="0" b="0"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4920615" cy="257175"/>
                        </a:xfrm>
                        <a:prstGeom prst="rect">
                          <a:avLst/>
                        </a:prstGeom>
                        <a:solidFill>
                          <a:srgbClr val="21A699"/>
                        </a:solidFill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20.25pt;mso-position-horizontal-relative:char;mso-position-vertical-relative:line" type="#_x0000_t202" id="docshape11" filled="true" fillcolor="#21a699" stroked="false">
                <w10:anchorlock/>
                <v:textbox inset="0,0,0,0">
                  <w:txbxContent>
                    <w:p>
                      <w:pPr>
                        <w:spacing w:before="63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78" w:lineRule="auto" w:before="146"/>
        <w:ind w:left="3927" w:right="156"/>
      </w:pPr>
      <w:r>
        <w:rPr>
          <w:w w:val="105"/>
        </w:rPr>
        <w:t>B.S.B.A. Finance, The Ohio State University, Fisher College of Business, December </w:t>
      </w:r>
      <w:r>
        <w:rPr>
          <w:spacing w:val="-4"/>
          <w:w w:val="105"/>
        </w:rPr>
        <w:t>2024</w:t>
      </w:r>
    </w:p>
    <w:p>
      <w:pPr>
        <w:pStyle w:val="BodyText"/>
        <w:spacing w:line="451" w:lineRule="auto" w:before="165"/>
        <w:ind w:left="3927" w:right="3581"/>
      </w:pPr>
      <w:r>
        <w:rPr>
          <w:w w:val="105"/>
        </w:rPr>
        <w:t>GPA: 3.58/4.00; Dean's List four semesters CFA Level I Candidate (May 2025 exam)</w:t>
      </w:r>
    </w:p>
    <w:sectPr>
      <w:type w:val="continuous"/>
      <w:pgSz w:w="11920" w:h="16860"/>
      <w:pgMar w:top="0" w:bottom="0" w:left="425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070" w:right="598"/>
      <w:jc w:val="center"/>
      <w:outlineLvl w:val="1"/>
    </w:pPr>
    <w:rPr>
      <w:rFonts w:ascii="Arial" w:hAnsi="Arial" w:eastAsia="Arial" w:cs="Arial"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boateng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2026-07-25T03:53:51Z</dcterms:created>
  <dcterms:modified xsi:type="dcterms:W3CDTF">2026-07-25T03:53:51Z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2026-07-25T00:00:00Z</vt:filetime>
  </property>
  <property fmtid="{D5CDD505-2E9C-101B-9397-08002B2CF9AE}" pid="5" name="Producer">
    <vt:lpwstr>Skia/PDF m121</vt:lpwstr>
  </property>
</Properties>
</file>