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7381874</wp:posOffset>
                </wp:positionH>
                <wp:positionV relativeFrom="page">
                  <wp:posOffset>0</wp:posOffset>
                </wp:positionV>
                <wp:extent cx="186690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0704830"/>
                          <a:chExt cx="186690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609850">
                                <a:moveTo>
                                  <a:pt x="0" y="2609849"/>
                                </a:moveTo>
                                <a:lnTo>
                                  <a:pt x="186309" y="2609849"/>
                                </a:lnTo>
                                <a:lnTo>
                                  <a:pt x="18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1" y="11"/>
                            <a:ext cx="186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04830">
                                <a:moveTo>
                                  <a:pt x="186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382237"/>
                                </a:lnTo>
                                <a:lnTo>
                                  <a:pt x="0" y="10704563"/>
                                </a:lnTo>
                                <a:lnTo>
                                  <a:pt x="186309" y="10704563"/>
                                </a:lnTo>
                                <a:lnTo>
                                  <a:pt x="186309" y="10382237"/>
                                </a:lnTo>
                                <a:lnTo>
                                  <a:pt x="186309" y="2609850"/>
                                </a:lnTo>
                                <a:lnTo>
                                  <a:pt x="186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1.249939pt;margin-top:.000028pt;width:14.7pt;height:842.9pt;mso-position-horizontal-relative:page;mso-position-vertical-relative:page;z-index:15730688" id="docshapegroup1" coordorigin="11625,0" coordsize="294,16858">
                <v:rect style="position:absolute;left:11625;top:0;width:294;height:4110" id="docshape2" filled="true" fillcolor="#acaaaa" stroked="false">
                  <v:fill type="solid"/>
                </v:rect>
                <v:shape style="position:absolute;left:11624;top:0;width:294;height:16858" id="docshape3" coordorigin="11625,0" coordsize="294,16858" path="m11918,0l11625,0,11625,4110,11625,16350,11625,16858,11918,16858,11918,16350,11918,4110,11918,0xe" filled="true" fillcolor="#000000" stroked="false">
                  <v:path arrowok="t"/>
                  <v:fill opacity="35979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sz w:val="74"/>
        </w:rPr>
        <w:t>Patricia</w:t>
      </w:r>
      <w:r>
        <w:rPr>
          <w:spacing w:val="-6"/>
          <w:sz w:val="74"/>
        </w:rPr>
        <w:t> </w:t>
      </w:r>
      <w:r>
        <w:rPr>
          <w:spacing w:val="-2"/>
          <w:sz w:val="74"/>
        </w:rPr>
        <w:t>Williams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spacing w:val="-2"/>
          <w:sz w:val="22"/>
        </w:rPr>
        <w:t>Banking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Charlotte,</w:t>
      </w:r>
      <w:r>
        <w:rPr>
          <w:spacing w:val="1"/>
          <w:sz w:val="22"/>
        </w:rPr>
        <w:t> </w:t>
      </w:r>
      <w:r>
        <w:rPr>
          <w:sz w:val="22"/>
        </w:rPr>
        <w:t>NC</w:t>
      </w:r>
      <w:r>
        <w:rPr>
          <w:spacing w:val="2"/>
          <w:sz w:val="22"/>
        </w:rPr>
        <w:t> </w:t>
      </w:r>
      <w:r>
        <w:rPr>
          <w:sz w:val="22"/>
        </w:rPr>
        <w:t>12345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r>
        <w:rPr>
          <w:sz w:val="22"/>
        </w:rPr>
        <w:t>(704)</w:t>
      </w:r>
      <w:r>
        <w:rPr>
          <w:spacing w:val="1"/>
          <w:sz w:val="22"/>
        </w:rPr>
        <w:t> </w:t>
      </w:r>
      <w:r>
        <w:rPr>
          <w:sz w:val="22"/>
        </w:rPr>
        <w:t>555-0182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hyperlink r:id="rId5">
        <w:r>
          <w:rPr>
            <w:spacing w:val="-2"/>
            <w:sz w:val="22"/>
          </w:rPr>
          <w:t>m.delacroix@example.com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329" w:firstLine="0"/>
        <w:jc w:val="left"/>
        <w:rPr>
          <w:sz w:val="15"/>
        </w:rPr>
      </w:pPr>
      <w:r>
        <w:rPr>
          <w:sz w:val="15"/>
        </w:rPr>
        <w:t>Personal</w:t>
      </w:r>
      <w:r>
        <w:rPr>
          <w:spacing w:val="-6"/>
          <w:sz w:val="15"/>
        </w:rPr>
        <w:t> </w:t>
      </w:r>
      <w:r>
        <w:rPr>
          <w:sz w:val="15"/>
        </w:rPr>
        <w:t>banker</w:t>
      </w:r>
      <w:r>
        <w:rPr>
          <w:spacing w:val="-6"/>
          <w:sz w:val="15"/>
        </w:rPr>
        <w:t> </w:t>
      </w:r>
      <w:r>
        <w:rPr>
          <w:sz w:val="15"/>
        </w:rPr>
        <w:t>with</w:t>
      </w:r>
      <w:r>
        <w:rPr>
          <w:spacing w:val="-6"/>
          <w:sz w:val="15"/>
        </w:rPr>
        <w:t> </w:t>
      </w:r>
      <w:r>
        <w:rPr>
          <w:sz w:val="15"/>
        </w:rPr>
        <w:t>6</w:t>
      </w:r>
      <w:r>
        <w:rPr>
          <w:spacing w:val="-6"/>
          <w:sz w:val="15"/>
        </w:rPr>
        <w:t> </w:t>
      </w:r>
      <w:r>
        <w:rPr>
          <w:sz w:val="15"/>
        </w:rPr>
        <w:t>years</w:t>
      </w:r>
      <w:r>
        <w:rPr>
          <w:spacing w:val="-6"/>
          <w:sz w:val="15"/>
        </w:rPr>
        <w:t> </w:t>
      </w:r>
      <w:r>
        <w:rPr>
          <w:sz w:val="15"/>
        </w:rPr>
        <w:t>on</w:t>
      </w:r>
      <w:r>
        <w:rPr>
          <w:spacing w:val="-6"/>
          <w:sz w:val="15"/>
        </w:rPr>
        <w:t> </w:t>
      </w:r>
      <w:r>
        <w:rPr>
          <w:sz w:val="15"/>
        </w:rPr>
        <w:t>the</w:t>
      </w:r>
      <w:r>
        <w:rPr>
          <w:spacing w:val="-6"/>
          <w:sz w:val="15"/>
        </w:rPr>
        <w:t> </w:t>
      </w:r>
      <w:r>
        <w:rPr>
          <w:sz w:val="15"/>
        </w:rPr>
        <w:t>teller</w:t>
      </w:r>
      <w:r>
        <w:rPr>
          <w:spacing w:val="-6"/>
          <w:sz w:val="15"/>
        </w:rPr>
        <w:t> </w:t>
      </w:r>
      <w:r>
        <w:rPr>
          <w:sz w:val="15"/>
        </w:rPr>
        <w:t>line</w:t>
      </w:r>
      <w:r>
        <w:rPr>
          <w:spacing w:val="-6"/>
          <w:sz w:val="15"/>
        </w:rPr>
        <w:t> </w:t>
      </w:r>
      <w:r>
        <w:rPr>
          <w:sz w:val="15"/>
        </w:rPr>
        <w:t>and</w:t>
      </w:r>
      <w:r>
        <w:rPr>
          <w:spacing w:val="-6"/>
          <w:sz w:val="15"/>
        </w:rPr>
        <w:t> </w:t>
      </w:r>
      <w:r>
        <w:rPr>
          <w:sz w:val="15"/>
        </w:rPr>
        <w:t>at</w:t>
      </w:r>
      <w:r>
        <w:rPr>
          <w:spacing w:val="-6"/>
          <w:sz w:val="15"/>
        </w:rPr>
        <w:t> </w:t>
      </w:r>
      <w:r>
        <w:rPr>
          <w:sz w:val="15"/>
        </w:rPr>
        <w:t>the</w:t>
      </w:r>
      <w:r>
        <w:rPr>
          <w:spacing w:val="-6"/>
          <w:sz w:val="15"/>
        </w:rPr>
        <w:t> </w:t>
      </w:r>
      <w:r>
        <w:rPr>
          <w:sz w:val="15"/>
        </w:rPr>
        <w:t>platform</w:t>
      </w:r>
      <w:r>
        <w:rPr>
          <w:spacing w:val="-6"/>
          <w:sz w:val="15"/>
        </w:rPr>
        <w:t> </w:t>
      </w:r>
      <w:r>
        <w:rPr>
          <w:sz w:val="15"/>
        </w:rPr>
        <w:t>desk.</w:t>
      </w:r>
      <w:r>
        <w:rPr>
          <w:spacing w:val="-6"/>
          <w:sz w:val="15"/>
        </w:rPr>
        <w:t> </w:t>
      </w:r>
      <w:r>
        <w:rPr>
          <w:sz w:val="15"/>
        </w:rPr>
        <w:t>Known</w:t>
      </w:r>
      <w:r>
        <w:rPr>
          <w:spacing w:val="-6"/>
          <w:sz w:val="15"/>
        </w:rPr>
        <w:t> </w:t>
      </w:r>
      <w:r>
        <w:rPr>
          <w:sz w:val="15"/>
        </w:rPr>
        <w:t>for</w:t>
      </w:r>
      <w:r>
        <w:rPr>
          <w:spacing w:val="-6"/>
          <w:sz w:val="15"/>
        </w:rPr>
        <w:t> </w:t>
      </w:r>
      <w:r>
        <w:rPr>
          <w:sz w:val="15"/>
        </w:rPr>
        <w:t>catching</w:t>
      </w:r>
      <w:r>
        <w:rPr>
          <w:spacing w:val="-6"/>
          <w:sz w:val="15"/>
        </w:rPr>
        <w:t> </w:t>
      </w:r>
      <w:r>
        <w:rPr>
          <w:sz w:val="15"/>
        </w:rPr>
        <w:t>fraud</w:t>
      </w:r>
      <w:r>
        <w:rPr>
          <w:spacing w:val="-6"/>
          <w:sz w:val="15"/>
        </w:rPr>
        <w:t> </w:t>
      </w:r>
      <w:r>
        <w:rPr>
          <w:sz w:val="15"/>
        </w:rPr>
        <w:t>attempts</w:t>
      </w:r>
      <w:r>
        <w:rPr>
          <w:spacing w:val="-6"/>
          <w:sz w:val="15"/>
        </w:rPr>
        <w:t> </w:t>
      </w:r>
      <w:r>
        <w:rPr>
          <w:sz w:val="15"/>
        </w:rPr>
        <w:t>at</w:t>
      </w:r>
      <w:r>
        <w:rPr>
          <w:spacing w:val="-6"/>
          <w:sz w:val="15"/>
        </w:rPr>
        <w:t> </w:t>
      </w:r>
      <w:r>
        <w:rPr>
          <w:sz w:val="15"/>
        </w:rPr>
        <w:t>the</w:t>
      </w:r>
      <w:r>
        <w:rPr>
          <w:spacing w:val="-6"/>
          <w:sz w:val="15"/>
        </w:rPr>
        <w:t> </w:t>
      </w:r>
      <w:r>
        <w:rPr>
          <w:sz w:val="15"/>
        </w:rPr>
        <w:t>window</w:t>
      </w:r>
      <w:r>
        <w:rPr>
          <w:spacing w:val="-6"/>
          <w:sz w:val="15"/>
        </w:rPr>
        <w:t> </w:t>
      </w:r>
      <w:r>
        <w:rPr>
          <w:sz w:val="15"/>
        </w:rPr>
        <w:t>and</w:t>
      </w:r>
      <w:r>
        <w:rPr>
          <w:spacing w:val="-6"/>
          <w:sz w:val="15"/>
        </w:rPr>
        <w:t> </w:t>
      </w:r>
      <w:r>
        <w:rPr>
          <w:sz w:val="15"/>
        </w:rPr>
        <w:t>turning</w:t>
      </w:r>
      <w:r>
        <w:rPr>
          <w:spacing w:val="-6"/>
          <w:sz w:val="15"/>
        </w:rPr>
        <w:t> </w:t>
      </w:r>
      <w:r>
        <w:rPr>
          <w:sz w:val="15"/>
        </w:rPr>
        <w:t>routine transactions into referrals for loans, credit cards, and investment appointments.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Professional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Personal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Banker</w:t>
      </w:r>
      <w:r>
        <w:rPr>
          <w:b/>
          <w:spacing w:val="16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8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Crestline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Federal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Savings,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Charlotte,</w:t>
      </w:r>
      <w:r>
        <w:rPr>
          <w:b/>
          <w:spacing w:val="-5"/>
          <w:w w:val="105"/>
          <w:sz w:val="18"/>
        </w:rPr>
        <w:t> NC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2022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8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325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340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relationships,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checking,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savings,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CDs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referring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complex needs to mortgage and wealth partners.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98" w:hanging="298"/>
        <w:jc w:val="left"/>
        <w:rPr>
          <w:position w:val="-4"/>
          <w:sz w:val="31"/>
        </w:rPr>
      </w:pPr>
      <w:r>
        <w:rPr>
          <w:w w:val="105"/>
          <w:sz w:val="18"/>
        </w:rPr>
        <w:t>Generated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$2.3M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balances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2024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following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maturing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customers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 renewal letters went out.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718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Spotted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check-kiting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pattern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linked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escalated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fraud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preventing roughly $14K in losses.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522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newer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tellers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veriﬁcation;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passed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BSA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recertiﬁcation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ﬁrst </w:t>
      </w:r>
      <w:r>
        <w:rPr>
          <w:spacing w:val="-2"/>
          <w:w w:val="105"/>
          <w:sz w:val="18"/>
        </w:rPr>
        <w:t>attempt.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8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Top-three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referrer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district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four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quarters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running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credit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card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small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business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loan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handoffs.</w:t>
      </w:r>
    </w:p>
    <w:p>
      <w:pPr>
        <w:tabs>
          <w:tab w:pos="10426" w:val="right" w:leader="none"/>
        </w:tabs>
        <w:spacing w:before="301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Teller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II</w:t>
      </w:r>
      <w:r>
        <w:rPr>
          <w:b/>
          <w:spacing w:val="35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37"/>
          <w:sz w:val="20"/>
        </w:rPr>
        <w:t> </w:t>
      </w:r>
      <w:r>
        <w:rPr>
          <w:b/>
          <w:sz w:val="18"/>
        </w:rPr>
        <w:t>Crestline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Federal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Savings,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Charlotte,</w:t>
      </w:r>
      <w:r>
        <w:rPr>
          <w:b/>
          <w:spacing w:val="8"/>
          <w:sz w:val="18"/>
        </w:rPr>
        <w:t> </w:t>
      </w:r>
      <w:r>
        <w:rPr>
          <w:b/>
          <w:spacing w:val="-5"/>
          <w:sz w:val="18"/>
        </w:rPr>
        <w:t>NC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2020 </w:t>
      </w:r>
      <w:r>
        <w:rPr>
          <w:b/>
          <w:position w:val="3"/>
          <w:sz w:val="18"/>
        </w:rPr>
        <w:t>– 2022</w:t>
      </w:r>
    </w:p>
    <w:p>
      <w:pPr>
        <w:pStyle w:val="BodyText"/>
        <w:spacing w:before="17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646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Processed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165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transactions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drawer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variance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$5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18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49" w:after="0"/>
        <w:ind w:left="1701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Trained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hires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Fiserv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platform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process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during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branch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consolidation.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8" w:lineRule="auto" w:before="18" w:after="0"/>
        <w:ind w:left="1702" w:right="584" w:hanging="298"/>
        <w:jc w:val="left"/>
        <w:rPr>
          <w:position w:val="-2"/>
          <w:sz w:val="31"/>
        </w:rPr>
      </w:pPr>
      <w:r>
        <w:rPr>
          <w:w w:val="105"/>
          <w:sz w:val="18"/>
        </w:rPr>
        <w:t>Handled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night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drop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reconciliation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clients,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restaurant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ﬁve </w:t>
      </w:r>
      <w:r>
        <w:rPr>
          <w:spacing w:val="-2"/>
          <w:w w:val="105"/>
          <w:sz w:val="18"/>
        </w:rPr>
        <w:t>locations.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9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Promoted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Teller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II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after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11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months,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ahead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standard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18-month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track.</w:t>
      </w:r>
    </w:p>
    <w:p>
      <w:pPr>
        <w:pStyle w:val="BodyText"/>
        <w:spacing w:before="9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Education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103669</wp:posOffset>
                </wp:positionV>
                <wp:extent cx="64770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62924pt;width:509.999959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B.S.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Business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Administration,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UNC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Charlotte,</w:t>
      </w:r>
      <w:r>
        <w:rPr>
          <w:b/>
          <w:spacing w:val="17"/>
          <w:sz w:val="18"/>
        </w:rPr>
        <w:t> </w:t>
      </w:r>
      <w:r>
        <w:rPr>
          <w:b/>
          <w:spacing w:val="-4"/>
          <w:sz w:val="18"/>
        </w:rPr>
        <w:t>2019</w:t>
      </w: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NMLS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Mortgage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Loan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Originator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License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(SAFE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Act),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active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Skills</w:t>
      </w:r>
    </w:p>
    <w:p>
      <w:pPr>
        <w:pStyle w:val="BodyText"/>
        <w:spacing w:before="2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104220</wp:posOffset>
                </wp:positionV>
                <wp:extent cx="647700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206341pt;width:509.999959pt;height:.75pt;mso-position-horizontal-relative:page;mso-position-vertical-relative:paragraph;z-index:-15727104;mso-wrap-distance-left:0;mso-wrap-distance-right:0" id="docshape7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44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Fiserv</w:t>
      </w:r>
      <w:r>
        <w:rPr>
          <w:spacing w:val="10"/>
          <w:sz w:val="18"/>
        </w:rPr>
        <w:t> </w:t>
      </w:r>
      <w:r>
        <w:rPr>
          <w:sz w:val="18"/>
        </w:rPr>
        <w:t>DNA</w:t>
      </w:r>
      <w:r>
        <w:rPr>
          <w:spacing w:val="-1"/>
          <w:sz w:val="18"/>
        </w:rPr>
        <w:t> </w:t>
      </w:r>
      <w:r>
        <w:rPr>
          <w:sz w:val="18"/>
        </w:rPr>
        <w:t>core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banking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Cash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handling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drawer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balancing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BSA</w:t>
      </w:r>
      <w:r>
        <w:rPr>
          <w:spacing w:val="-3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AML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CTR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ﬁling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Fraud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check-kiting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detection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Cross-selling</w:t>
      </w:r>
      <w:r>
        <w:rPr>
          <w:spacing w:val="12"/>
          <w:sz w:val="18"/>
        </w:rPr>
        <w:t> </w:t>
      </w:r>
      <w:r>
        <w:rPr>
          <w:sz w:val="18"/>
        </w:rPr>
        <w:t>deposit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credit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products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Account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opening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KYC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6" w:lineRule="exact" w:before="0" w:after="0"/>
        <w:ind w:left="529" w:right="0" w:hanging="296"/>
        <w:jc w:val="left"/>
        <w:rPr>
          <w:position w:val="-3"/>
          <w:sz w:val="31"/>
        </w:rPr>
      </w:pPr>
      <w:r>
        <w:rPr>
          <w:sz w:val="18"/>
        </w:rPr>
        <w:t>Wire</w:t>
      </w:r>
      <w:r>
        <w:rPr>
          <w:spacing w:val="11"/>
          <w:sz w:val="18"/>
        </w:rPr>
        <w:t> </w:t>
      </w:r>
      <w:r>
        <w:rPr>
          <w:sz w:val="18"/>
        </w:rPr>
        <w:t>transfers</w:t>
      </w:r>
      <w:r>
        <w:rPr>
          <w:spacing w:val="1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ACH</w:t>
      </w:r>
    </w:p>
    <w:p>
      <w:pPr>
        <w:pStyle w:val="ListParagraph"/>
        <w:spacing w:after="0" w:line="346" w:lineRule="exact"/>
        <w:jc w:val="left"/>
        <w:rPr>
          <w:position w:val="-3"/>
          <w:sz w:val="31"/>
        </w:rPr>
        <w:sectPr>
          <w:type w:val="continuous"/>
          <w:pgSz w:w="11920" w:h="16860"/>
          <w:pgMar w:top="0" w:bottom="0" w:left="566" w:right="85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704837"/>
                              </a:lnTo>
                              <a:lnTo>
                                <a:pt x="0" y="2609850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2609850"/>
                              </a:lnTo>
                              <a:lnTo>
                                <a:pt x="186309" y="704837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8" coordorigin="11625,0" coordsize="294,16858" path="m11918,0l11625,0,11625,510,11625,1110,11625,4110,11625,16858,11918,16858,11918,4110,11918,1110,11918,510,11918,0xe" filled="true" fillcolor="#000000" stroked="false">
                <v:path arrowok="t"/>
                <v:fill opacity="35979f" type="solid"/>
                <w10:wrap type="none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Customer</w:t>
      </w:r>
      <w:r>
        <w:rPr>
          <w:spacing w:val="19"/>
          <w:sz w:val="18"/>
        </w:rPr>
        <w:t> </w:t>
      </w:r>
      <w:r>
        <w:rPr>
          <w:sz w:val="18"/>
        </w:rPr>
        <w:t>relationship</w:t>
      </w:r>
      <w:r>
        <w:rPr>
          <w:spacing w:val="20"/>
          <w:sz w:val="18"/>
        </w:rPr>
        <w:t> </w:t>
      </w:r>
      <w:r>
        <w:rPr>
          <w:sz w:val="18"/>
        </w:rPr>
        <w:t>management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(Salesforce)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Spanish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(conversational)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delacroix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2026-07-16T06:17:28Z</dcterms:created>
  <dcterms:modified xsi:type="dcterms:W3CDTF">2026-07-16T06:17:28Z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