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523" w:right="0" w:firstLine="0"/>
        <w:jc w:val="left"/>
        <w:rPr>
          <w:sz w:val="74"/>
        </w:rPr>
      </w:pPr>
      <w:r>
        <w:rPr>
          <w:b/>
          <w:color w:val="FFFFFF"/>
          <w:spacing w:val="12"/>
          <w:sz w:val="74"/>
        </w:rPr>
        <w:t>Michelle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9"/>
          <w:sz w:val="74"/>
        </w:rPr>
        <w:t>Lewis</w:t>
      </w:r>
    </w:p>
    <w:p>
      <w:pPr>
        <w:pStyle w:val="Heading1"/>
      </w:pPr>
      <w:r>
        <w:rPr>
          <w:color w:val="FFFFFF"/>
          <w:spacing w:val="-2"/>
        </w:rPr>
        <w:t>Pharmacist</w:t>
      </w:r>
    </w:p>
    <w:p>
      <w:pPr>
        <w:spacing w:line="273" w:lineRule="auto" w:before="178"/>
        <w:ind w:left="523" w:right="734" w:firstLine="0"/>
        <w:jc w:val="both"/>
        <w:rPr>
          <w:sz w:val="16"/>
        </w:rPr>
      </w:pPr>
      <w:r>
        <w:rPr>
          <w:color w:val="FFFFFF"/>
          <w:w w:val="105"/>
          <w:sz w:val="16"/>
        </w:rPr>
        <w:t>Senior pharmacist with 11 years of experience spanning ambulatory care clinics and a regional infusion center. Board-certified in ambulatory care with collaborative practice authority for diabetes, hypertension, and anticoagulation management. Mentor to four junior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pharmacists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lead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clinic's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transitions-of-care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program.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08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283"/>
        </w:sectPr>
      </w:pPr>
    </w:p>
    <w:p>
      <w:pPr>
        <w:pStyle w:val="Heading2"/>
        <w:spacing w:before="115"/>
      </w:pPr>
      <w:r>
        <w:rPr>
          <w:color w:val="FFFFFF"/>
        </w:rPr>
        <w:t>CONTACT</w:t>
      </w:r>
      <w:r>
        <w:rPr>
          <w:color w:val="FFFFFF"/>
          <w:spacing w:val="31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114"/>
        <w:ind w:left="0"/>
        <w:rPr>
          <w:b/>
          <w:sz w:val="20"/>
        </w:rPr>
      </w:pPr>
    </w:p>
    <w:p>
      <w:pPr>
        <w:pStyle w:val="BodyText"/>
        <w:ind w:left="876"/>
      </w:pPr>
      <w:r>
        <w:rPr>
          <w:color w:val="FFFFFF"/>
          <w:w w:val="105"/>
        </w:rPr>
        <w:t>(509)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0173</w:t>
      </w:r>
    </w:p>
    <w:p>
      <w:pPr>
        <w:pStyle w:val="BodyText"/>
        <w:spacing w:before="66"/>
        <w:ind w:left="0"/>
      </w:pPr>
    </w:p>
    <w:p>
      <w:pPr>
        <w:pStyle w:val="BodyText"/>
        <w:spacing w:line="261" w:lineRule="auto"/>
        <w:ind w:left="876"/>
      </w:pPr>
      <w:r>
        <w:rPr>
          <w:color w:val="FFFFFF"/>
          <w:spacing w:val="-2"/>
        </w:rPr>
        <w:t>elena.vasquez@exampl </w:t>
      </w:r>
      <w:r>
        <w:rPr>
          <w:color w:val="FFFFFF"/>
          <w:spacing w:val="-2"/>
          <w:w w:val="105"/>
        </w:rPr>
        <w:t>e.com</w:t>
      </w:r>
    </w:p>
    <w:p>
      <w:pPr>
        <w:pStyle w:val="BodyText"/>
        <w:spacing w:before="62"/>
        <w:ind w:left="0"/>
      </w:pPr>
    </w:p>
    <w:p>
      <w:pPr>
        <w:pStyle w:val="BodyText"/>
        <w:ind w:left="876"/>
      </w:pPr>
      <w:r>
        <w:rPr>
          <w:color w:val="FFFFFF"/>
          <w:w w:val="105"/>
        </w:rPr>
        <w:t>Spokane,</w:t>
      </w:r>
      <w:r>
        <w:rPr>
          <w:color w:val="FFFFFF"/>
          <w:spacing w:val="4"/>
          <w:w w:val="105"/>
        </w:rPr>
        <w:t> </w:t>
      </w:r>
      <w:r>
        <w:rPr>
          <w:color w:val="FFFFFF"/>
          <w:w w:val="105"/>
        </w:rPr>
        <w:t>WA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77"/>
        <w:ind w:left="0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0" w:after="0"/>
        <w:ind w:left="727" w:right="32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Collaborative practice agreements (diabetes,</w:t>
      </w:r>
    </w:p>
    <w:p>
      <w:pPr>
        <w:pStyle w:val="BodyText"/>
        <w:spacing w:line="261" w:lineRule="auto" w:before="27"/>
      </w:pPr>
      <w:r>
        <w:rPr>
          <w:color w:val="FFFFFF"/>
          <w:spacing w:val="-2"/>
          <w:w w:val="105"/>
        </w:rPr>
        <w:t>hypertension, </w:t>
      </w:r>
      <w:r>
        <w:rPr>
          <w:color w:val="FFFFFF"/>
          <w:spacing w:val="-2"/>
        </w:rPr>
        <w:t>anticoagulation)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82" w:after="0"/>
        <w:ind w:left="727" w:right="258" w:hanging="298"/>
        <w:jc w:val="left"/>
        <w:rPr>
          <w:color w:val="FFFFFF"/>
          <w:position w:val="-4"/>
          <w:sz w:val="31"/>
        </w:rPr>
      </w:pPr>
      <w:r>
        <w:rPr>
          <w:color w:val="FFFFFF"/>
          <w:spacing w:val="-2"/>
          <w:w w:val="105"/>
          <w:sz w:val="18"/>
        </w:rPr>
        <w:t>Anticoagulation </w:t>
      </w:r>
      <w:r>
        <w:rPr>
          <w:color w:val="FFFFFF"/>
          <w:w w:val="105"/>
          <w:sz w:val="18"/>
        </w:rPr>
        <w:t>management (warfarin,</w:t>
      </w:r>
    </w:p>
    <w:p>
      <w:pPr>
        <w:pStyle w:val="BodyText"/>
        <w:spacing w:line="261" w:lineRule="auto" w:before="26"/>
        <w:ind w:right="48"/>
      </w:pPr>
      <w:r>
        <w:rPr>
          <w:color w:val="FFFFFF"/>
          <w:w w:val="105"/>
        </w:rPr>
        <w:t>DOACs,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bridging </w:t>
      </w:r>
      <w:r>
        <w:rPr>
          <w:color w:val="FFFFFF"/>
          <w:spacing w:val="-2"/>
          <w:w w:val="105"/>
        </w:rPr>
        <w:t>protocols)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201" w:lineRule="auto" w:before="56" w:after="0"/>
        <w:ind w:left="727" w:right="9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Chemotherapy and biologic order verification</w:t>
      </w:r>
    </w:p>
    <w:p>
      <w:pPr>
        <w:pStyle w:val="Heading2"/>
        <w:spacing w:before="70"/>
      </w:pPr>
      <w:r>
        <w:rPr>
          <w:b w:val="0"/>
        </w:rPr>
        <w:br w:type="column"/>
      </w:r>
      <w:r>
        <w:rPr>
          <w:color w:val="FF7E7E"/>
          <w:spacing w:val="2"/>
        </w:rPr>
        <w:t>PROFESSIONAL</w:t>
      </w:r>
      <w:r>
        <w:rPr>
          <w:color w:val="FF7E7E"/>
          <w:spacing w:val="46"/>
        </w:rPr>
        <w:t> </w:t>
      </w:r>
      <w:r>
        <w:rPr>
          <w:color w:val="FF7E7E"/>
          <w:spacing w:val="-2"/>
        </w:rPr>
        <w:t>EXPERIENCE</w:t>
      </w:r>
    </w:p>
    <w:p>
      <w:pPr>
        <w:pStyle w:val="BodyText"/>
        <w:spacing w:before="6"/>
        <w:ind w:left="0"/>
        <w:rPr>
          <w:b/>
          <w:sz w:val="20"/>
        </w:rPr>
      </w:pPr>
    </w:p>
    <w:p>
      <w:pPr>
        <w:pStyle w:val="BodyText"/>
        <w:spacing w:line="259" w:lineRule="auto"/>
        <w:ind w:left="114"/>
      </w:pPr>
      <w:r>
        <w:rPr>
          <w:w w:val="105"/>
        </w:rPr>
        <w:t>SENIOR</w:t>
      </w:r>
      <w:r>
        <w:rPr>
          <w:spacing w:val="-9"/>
          <w:w w:val="105"/>
        </w:rPr>
        <w:t> </w:t>
      </w:r>
      <w:r>
        <w:rPr>
          <w:w w:val="105"/>
        </w:rPr>
        <w:t>AMBULATORY</w:t>
      </w:r>
      <w:r>
        <w:rPr>
          <w:spacing w:val="-2"/>
          <w:w w:val="105"/>
        </w:rPr>
        <w:t> </w:t>
      </w:r>
      <w:r>
        <w:rPr>
          <w:w w:val="105"/>
        </w:rPr>
        <w:t>CARE PHARMACIST </w:t>
      </w:r>
      <w:r>
        <w:rPr>
          <w:w w:val="105"/>
          <w:position w:val="2"/>
        </w:rPr>
        <w:t>| </w:t>
      </w:r>
      <w:r>
        <w:rPr>
          <w:w w:val="105"/>
        </w:rPr>
        <w:t>CASCADE VALLEY</w:t>
      </w:r>
      <w:r>
        <w:rPr>
          <w:spacing w:val="-2"/>
          <w:w w:val="105"/>
        </w:rPr>
        <w:t> </w:t>
      </w:r>
      <w:r>
        <w:rPr>
          <w:w w:val="105"/>
        </w:rPr>
        <w:t>HEALTH PARTNERS, SPOKANE, WA</w:t>
      </w:r>
    </w:p>
    <w:p>
      <w:pPr>
        <w:pStyle w:val="BodyText"/>
        <w:spacing w:before="1"/>
        <w:ind w:left="114"/>
      </w:pPr>
      <w:r>
        <w:rPr/>
        <w:t>2019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191" w:after="0"/>
        <w:ind w:left="653" w:right="252" w:hanging="298"/>
        <w:jc w:val="left"/>
        <w:rPr>
          <w:position w:val="-4"/>
          <w:sz w:val="31"/>
        </w:rPr>
      </w:pPr>
      <w:r>
        <w:rPr>
          <w:w w:val="105"/>
          <w:sz w:val="18"/>
        </w:rPr>
        <w:t>Run pharmacist-led diabetes clinic for 280 active patients under a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collaborative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practice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agreement;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mean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A1c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reduction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1.6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points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12</w:t>
      </w:r>
    </w:p>
    <w:p>
      <w:pPr>
        <w:pStyle w:val="BodyText"/>
        <w:spacing w:before="27"/>
        <w:ind w:left="653"/>
      </w:pPr>
      <w:r>
        <w:rPr>
          <w:spacing w:val="-2"/>
          <w:w w:val="105"/>
        </w:rPr>
        <w:t>months.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101" w:after="0"/>
        <w:ind w:left="653" w:right="685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 warfarin and DOAC therapy for roughly 145 patients, with TTR consistently above the national MIRROR benchmark.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95" w:after="0"/>
        <w:ind w:left="653" w:right="377" w:hanging="298"/>
        <w:jc w:val="left"/>
        <w:rPr>
          <w:position w:val="-4"/>
          <w:sz w:val="31"/>
        </w:rPr>
      </w:pPr>
      <w:r>
        <w:rPr>
          <w:w w:val="105"/>
          <w:sz w:val="18"/>
        </w:rPr>
        <w:t>Lead transitions-of-care calls within 72 hours of hospital discharge, contributing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measurable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drop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30-day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readmissions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high-risk</w:t>
      </w:r>
    </w:p>
    <w:p>
      <w:pPr>
        <w:pStyle w:val="BodyText"/>
        <w:spacing w:before="27"/>
        <w:ind w:left="653"/>
      </w:pPr>
      <w:r>
        <w:rPr>
          <w:spacing w:val="-2"/>
          <w:w w:val="105"/>
        </w:rPr>
        <w:t>cohort.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101" w:after="0"/>
        <w:ind w:left="653" w:right="709" w:hanging="298"/>
        <w:jc w:val="left"/>
        <w:rPr>
          <w:position w:val="-4"/>
          <w:sz w:val="31"/>
        </w:rPr>
      </w:pPr>
      <w:r>
        <w:rPr>
          <w:w w:val="105"/>
          <w:sz w:val="18"/>
        </w:rPr>
        <w:t>Precept PGY-2 ambulatory care residents and APPE students from two regional schools.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95" w:after="0"/>
        <w:ind w:left="653" w:right="141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population-health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dashboard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Epic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flag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patients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overdue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statin or SGLT2 initiation.</w:t>
      </w:r>
    </w:p>
    <w:p>
      <w:pPr>
        <w:pStyle w:val="BodyText"/>
        <w:spacing w:before="101"/>
        <w:ind w:left="0"/>
      </w:pPr>
    </w:p>
    <w:p>
      <w:pPr>
        <w:pStyle w:val="BodyText"/>
        <w:spacing w:line="259" w:lineRule="auto"/>
        <w:ind w:left="114"/>
      </w:pPr>
      <w:r>
        <w:rPr>
          <w:w w:val="105"/>
        </w:rPr>
        <w:t>CLINICAL</w:t>
      </w:r>
      <w:r>
        <w:rPr>
          <w:spacing w:val="-4"/>
          <w:w w:val="105"/>
        </w:rPr>
        <w:t> </w:t>
      </w:r>
      <w:r>
        <w:rPr>
          <w:w w:val="105"/>
        </w:rPr>
        <w:t>PHARMACIST, INFUSION CENTER </w:t>
      </w:r>
      <w:r>
        <w:rPr>
          <w:w w:val="105"/>
          <w:position w:val="2"/>
        </w:rPr>
        <w:t>| </w:t>
      </w:r>
      <w:r>
        <w:rPr>
          <w:w w:val="105"/>
        </w:rPr>
        <w:t>CASCADE VALLEY</w:t>
      </w:r>
      <w:r>
        <w:rPr>
          <w:spacing w:val="-1"/>
          <w:w w:val="105"/>
        </w:rPr>
        <w:t> </w:t>
      </w:r>
      <w:r>
        <w:rPr>
          <w:w w:val="105"/>
        </w:rPr>
        <w:t>HEALTH PARTNERS, SPOKANE, WA</w:t>
      </w:r>
    </w:p>
    <w:p>
      <w:pPr>
        <w:pStyle w:val="BodyText"/>
        <w:spacing w:before="1"/>
        <w:ind w:left="114"/>
      </w:pPr>
      <w:r>
        <w:rPr/>
        <w:t>2015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640" w:bottom="280" w:left="425" w:right="283"/>
          <w:cols w:num="2" w:equalWidth="0">
            <w:col w:w="2974" w:space="783"/>
            <w:col w:w="7455"/>
          </w:cols>
        </w:sectPr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3" w:after="0"/>
        <w:ind w:left="727" w:right="120" w:hanging="298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24" y="10382248"/>
                            <a:ext cx="24003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323850">
                                <a:moveTo>
                                  <a:pt x="0" y="323849"/>
                                </a:moveTo>
                                <a:lnTo>
                                  <a:pt x="2400299" y="323849"/>
                                </a:lnTo>
                                <a:lnTo>
                                  <a:pt x="24002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2152649"/>
                            <a:ext cx="2400300" cy="822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229600">
                                <a:moveTo>
                                  <a:pt x="2400299" y="8229599"/>
                                </a:moveTo>
                                <a:lnTo>
                                  <a:pt x="0" y="82295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8229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4" y="273367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3095624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349567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600312" y="2295537"/>
                            <a:ext cx="4968240" cy="681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40" h="6819900">
                                <a:moveTo>
                                  <a:pt x="4967859" y="6562712"/>
                                </a:moveTo>
                                <a:lnTo>
                                  <a:pt x="0" y="6562712"/>
                                </a:lnTo>
                                <a:lnTo>
                                  <a:pt x="0" y="6819887"/>
                                </a:lnTo>
                                <a:lnTo>
                                  <a:pt x="4967859" y="6819887"/>
                                </a:lnTo>
                                <a:lnTo>
                                  <a:pt x="4967859" y="6562712"/>
                                </a:lnTo>
                                <a:close/>
                              </a:path>
                              <a:path w="4968240" h="6819900">
                                <a:moveTo>
                                  <a:pt x="49678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4967859" y="257175"/>
                                </a:lnTo>
                                <a:lnTo>
                                  <a:pt x="4967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E7E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0080" id="docshapegroup1" coordorigin="0,0" coordsize="11919,16860">
                <v:rect style="position:absolute;left:315;top:16350;width:3780;height:510" id="docshape2" filled="true" fillcolor="#ff7e7e" stroked="false">
                  <v:fill type="solid"/>
                </v:rect>
                <v:rect style="position:absolute;left:0;top:0;width:11919;height:3390" id="docshape3" filled="true" fillcolor="#424242" stroked="false">
                  <v:fill type="solid"/>
                </v:rect>
                <v:rect style="position:absolute;left:315;top:3390;width:3780;height:12960" id="docshape4" filled="true" fillcolor="#ff7e7e" stroked="false">
                  <v:fill type="solid"/>
                </v:rect>
                <v:shape style="position:absolute;left:855;top:4305;width:255;height:255" type="#_x0000_t75" id="docshape5" stroked="false">
                  <v:imagedata r:id="rId5" o:title=""/>
                </v:shape>
                <v:shape style="position:absolute;left:855;top:4875;width:255;height:300" type="#_x0000_t75" id="docshape6" stroked="false">
                  <v:imagedata r:id="rId6" o:title=""/>
                </v:shape>
                <v:shape style="position:absolute;left:855;top:5505;width:255;height:255" type="#_x0000_t75" id="docshape7" stroked="false">
                  <v:imagedata r:id="rId7" o:title=""/>
                </v:shape>
                <v:shape style="position:absolute;left:4094;top:3615;width:7824;height:10740" id="docshape8" coordorigin="4095,3615" coordsize="7824,10740" path="m11918,13950l4095,13950,4095,14355,11918,14355,11918,13950xm11918,3615l4095,3615,4095,4020,11918,4020,11918,3615xe" filled="true" fillcolor="#ff7e7e" stroked="false">
                  <v:path arrowok="t"/>
                  <v:fill opacity="32899f"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Transitions-of-care and medication reconciliation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5" w:after="0"/>
        <w:ind w:left="727" w:right="32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Epic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EHR,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Willow,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and Beacon optimization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10" w:after="0"/>
        <w:ind w:left="727" w:right="14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Population health analytics and dashboard</w:t>
      </w:r>
    </w:p>
    <w:p>
      <w:pPr>
        <w:pStyle w:val="BodyText"/>
        <w:spacing w:before="26"/>
      </w:pPr>
      <w:r>
        <w:rPr>
          <w:color w:val="FFFFFF"/>
          <w:spacing w:val="-2"/>
          <w:w w:val="105"/>
        </w:rPr>
        <w:t>development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201" w:lineRule="auto" w:before="75" w:after="0"/>
        <w:ind w:left="727" w:right="7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MTM and comprehensive medication reviews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4" w:after="0"/>
        <w:ind w:left="727" w:right="10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Preceptorship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for PGY-1, PGY-2 residents and</w:t>
      </w:r>
    </w:p>
    <w:p>
      <w:pPr>
        <w:pStyle w:val="BodyText"/>
        <w:spacing w:before="26"/>
      </w:pPr>
      <w:r>
        <w:rPr>
          <w:color w:val="FFFFFF"/>
          <w:w w:val="105"/>
        </w:rPr>
        <w:t>APPE</w:t>
      </w:r>
      <w:r>
        <w:rPr>
          <w:color w:val="FFFFFF"/>
          <w:spacing w:val="4"/>
          <w:w w:val="105"/>
        </w:rPr>
        <w:t> </w:t>
      </w:r>
      <w:r>
        <w:rPr>
          <w:color w:val="FFFFFF"/>
          <w:spacing w:val="-2"/>
          <w:w w:val="105"/>
        </w:rPr>
        <w:t>students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204" w:lineRule="auto" w:before="70" w:after="0"/>
        <w:ind w:left="727" w:right="196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REMS program </w:t>
      </w:r>
      <w:r>
        <w:rPr>
          <w:color w:val="FFFFFF"/>
          <w:spacing w:val="2"/>
          <w:sz w:val="18"/>
        </w:rPr>
        <w:t>coordination</w:t>
      </w:r>
      <w:r>
        <w:rPr>
          <w:color w:val="FFFFFF"/>
          <w:spacing w:val="46"/>
          <w:sz w:val="18"/>
        </w:rPr>
        <w:t> </w:t>
      </w:r>
      <w:r>
        <w:rPr>
          <w:color w:val="FFFFFF"/>
          <w:spacing w:val="-2"/>
          <w:sz w:val="18"/>
        </w:rPr>
        <w:t>(clozapine,</w:t>
      </w:r>
    </w:p>
    <w:p>
      <w:pPr>
        <w:pStyle w:val="BodyText"/>
        <w:spacing w:before="24"/>
      </w:pPr>
      <w:r>
        <w:rPr>
          <w:color w:val="FFFFFF"/>
          <w:spacing w:val="-2"/>
          <w:w w:val="105"/>
        </w:rPr>
        <w:t>isotretinoin)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87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Biosimilar conversion and formulary management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10" w:after="0"/>
        <w:ind w:left="727" w:right="13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Motivational interviewing and patient counseling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5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spacing w:val="-2"/>
          <w:w w:val="105"/>
          <w:sz w:val="18"/>
        </w:rPr>
        <w:t>Pharmacoeconomic </w:t>
      </w:r>
      <w:r>
        <w:rPr>
          <w:color w:val="FFFFFF"/>
          <w:w w:val="105"/>
          <w:sz w:val="18"/>
        </w:rPr>
        <w:t>analysis and cost-savings</w:t>
      </w:r>
    </w:p>
    <w:p>
      <w:pPr>
        <w:pStyle w:val="BodyText"/>
        <w:spacing w:before="26"/>
      </w:pPr>
      <w:r>
        <w:rPr>
          <w:color w:val="FFFFFF"/>
          <w:spacing w:val="-2"/>
          <w:w w:val="105"/>
        </w:rPr>
        <w:t>initiatives</w:t>
      </w:r>
    </w:p>
    <w:p>
      <w:pPr>
        <w:pStyle w:val="ListParagraph"/>
        <w:numPr>
          <w:ilvl w:val="1"/>
          <w:numId w:val="1"/>
        </w:numPr>
        <w:tabs>
          <w:tab w:pos="967" w:val="left" w:leader="none"/>
          <w:tab w:pos="969" w:val="left" w:leader="none"/>
        </w:tabs>
        <w:spacing w:line="189" w:lineRule="auto" w:before="153" w:after="0"/>
        <w:ind w:left="969" w:right="566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Verified chemotherapy and biologic orders for a 22-chair infusion center averaging 90 patients per week.</w:t>
      </w:r>
    </w:p>
    <w:p>
      <w:pPr>
        <w:pStyle w:val="ListParagraph"/>
        <w:numPr>
          <w:ilvl w:val="1"/>
          <w:numId w:val="1"/>
        </w:numPr>
        <w:tabs>
          <w:tab w:pos="967" w:val="left" w:leader="none"/>
          <w:tab w:pos="969" w:val="left" w:leader="none"/>
        </w:tabs>
        <w:spacing w:line="201" w:lineRule="auto" w:before="83" w:after="0"/>
        <w:ind w:left="969" w:right="1165" w:hanging="298"/>
        <w:jc w:val="left"/>
        <w:rPr>
          <w:sz w:val="18"/>
        </w:rPr>
      </w:pPr>
      <w:r>
        <w:rPr>
          <w:w w:val="105"/>
          <w:sz w:val="18"/>
        </w:rPr>
        <w:t>Co-developed the center's biosimilar conversion protocol, saving approximately $412,000 annually in drug spend.</w:t>
      </w:r>
    </w:p>
    <w:p>
      <w:pPr>
        <w:pStyle w:val="ListParagraph"/>
        <w:numPr>
          <w:ilvl w:val="1"/>
          <w:numId w:val="1"/>
        </w:numPr>
        <w:tabs>
          <w:tab w:pos="967" w:val="left" w:leader="none"/>
          <w:tab w:pos="969" w:val="left" w:leader="none"/>
        </w:tabs>
        <w:spacing w:line="189" w:lineRule="auto" w:before="94" w:after="0"/>
        <w:ind w:left="969" w:right="63" w:hanging="298"/>
        <w:jc w:val="left"/>
        <w:rPr>
          <w:sz w:val="18"/>
        </w:rPr>
      </w:pPr>
      <w:r>
        <w:rPr>
          <w:w w:val="105"/>
          <w:sz w:val="18"/>
        </w:rPr>
        <w:t>Counseled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patients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oral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oncolytics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adherence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strategies;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documented in Beacon.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240" w:lineRule="auto" w:before="44" w:after="0"/>
        <w:ind w:left="968" w:right="0" w:hanging="296"/>
        <w:jc w:val="left"/>
        <w:rPr>
          <w:sz w:val="18"/>
        </w:rPr>
      </w:pPr>
      <w:r>
        <w:rPr>
          <w:w w:val="105"/>
          <w:sz w:val="18"/>
        </w:rPr>
        <w:t>Served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REMS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coordinator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clozapine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isotretinoin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programs.</w:t>
      </w:r>
    </w:p>
    <w:p>
      <w:pPr>
        <w:pStyle w:val="BodyText"/>
        <w:spacing w:before="16"/>
        <w:ind w:left="0"/>
      </w:pPr>
    </w:p>
    <w:p>
      <w:pPr>
        <w:pStyle w:val="BodyText"/>
        <w:ind w:left="430"/>
      </w:pPr>
      <w:r>
        <w:rPr>
          <w:w w:val="105"/>
        </w:rPr>
        <w:t>STAFF</w:t>
      </w:r>
      <w:r>
        <w:rPr>
          <w:spacing w:val="-1"/>
          <w:w w:val="105"/>
        </w:rPr>
        <w:t> </w:t>
      </w:r>
      <w:r>
        <w:rPr>
          <w:w w:val="105"/>
        </w:rPr>
        <w:t>PHARMACIST </w:t>
      </w:r>
      <w:r>
        <w:rPr>
          <w:w w:val="105"/>
          <w:position w:val="2"/>
        </w:rPr>
        <w:t>| </w:t>
      </w:r>
      <w:r>
        <w:rPr>
          <w:w w:val="105"/>
        </w:rPr>
        <w:t>NORTHGATE MEDICAL</w:t>
      </w:r>
      <w:r>
        <w:rPr>
          <w:spacing w:val="-6"/>
          <w:w w:val="105"/>
        </w:rPr>
        <w:t> </w:t>
      </w:r>
      <w:r>
        <w:rPr>
          <w:w w:val="105"/>
        </w:rPr>
        <w:t>PHARMACY, COEUR</w:t>
      </w:r>
      <w:r>
        <w:rPr>
          <w:spacing w:val="-1"/>
          <w:w w:val="105"/>
        </w:rPr>
        <w:t> </w:t>
      </w:r>
      <w:r>
        <w:rPr>
          <w:w w:val="105"/>
        </w:rPr>
        <w:t>D'ALENE, </w:t>
      </w:r>
      <w:r>
        <w:rPr>
          <w:spacing w:val="-5"/>
          <w:w w:val="105"/>
        </w:rPr>
        <w:t>ID</w:t>
      </w:r>
    </w:p>
    <w:p>
      <w:pPr>
        <w:pStyle w:val="BodyText"/>
        <w:spacing w:before="16"/>
        <w:ind w:left="430"/>
      </w:pPr>
      <w:r>
        <w:rPr/>
        <w:t>2013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2015</w:t>
      </w:r>
    </w:p>
    <w:p>
      <w:pPr>
        <w:pStyle w:val="ListParagraph"/>
        <w:numPr>
          <w:ilvl w:val="1"/>
          <w:numId w:val="1"/>
        </w:numPr>
        <w:tabs>
          <w:tab w:pos="967" w:val="left" w:leader="none"/>
          <w:tab w:pos="969" w:val="left" w:leader="none"/>
        </w:tabs>
        <w:spacing w:line="189" w:lineRule="auto" w:before="192" w:after="0"/>
        <w:ind w:left="969" w:right="287" w:hanging="298"/>
        <w:jc w:val="left"/>
        <w:rPr>
          <w:sz w:val="18"/>
        </w:rPr>
      </w:pPr>
      <w:r>
        <w:rPr>
          <w:w w:val="105"/>
          <w:sz w:val="18"/>
        </w:rPr>
        <w:t>Dispensed in a hospital outpatient pharmacy filling 800 to 1,000 scripts per</w:t>
      </w:r>
      <w:r>
        <w:rPr>
          <w:spacing w:val="40"/>
          <w:w w:val="105"/>
          <w:sz w:val="18"/>
        </w:rPr>
        <w:t> </w:t>
      </w:r>
      <w:r>
        <w:rPr>
          <w:spacing w:val="-4"/>
          <w:w w:val="105"/>
          <w:sz w:val="18"/>
        </w:rPr>
        <w:t>day.</w:t>
      </w:r>
    </w:p>
    <w:p>
      <w:pPr>
        <w:pStyle w:val="ListParagraph"/>
        <w:numPr>
          <w:ilvl w:val="1"/>
          <w:numId w:val="1"/>
        </w:numPr>
        <w:tabs>
          <w:tab w:pos="967" w:val="left" w:leader="none"/>
          <w:tab w:pos="969" w:val="left" w:leader="none"/>
        </w:tabs>
        <w:spacing w:line="189" w:lineRule="auto" w:before="94" w:after="0"/>
        <w:ind w:left="969" w:right="460" w:hanging="298"/>
        <w:jc w:val="left"/>
        <w:rPr>
          <w:sz w:val="18"/>
        </w:rPr>
      </w:pPr>
      <w:r>
        <w:rPr>
          <w:w w:val="105"/>
          <w:sz w:val="18"/>
        </w:rPr>
        <w:t>Provided discharge counseling for joint replacement and cardiac surgery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patients.</w:t>
      </w:r>
    </w:p>
    <w:p>
      <w:pPr>
        <w:pStyle w:val="ListParagraph"/>
        <w:numPr>
          <w:ilvl w:val="1"/>
          <w:numId w:val="1"/>
        </w:numPr>
        <w:tabs>
          <w:tab w:pos="967" w:val="left" w:leader="none"/>
          <w:tab w:pos="969" w:val="left" w:leader="none"/>
        </w:tabs>
        <w:spacing w:line="189" w:lineRule="auto" w:before="110" w:after="0"/>
        <w:ind w:left="969" w:right="573" w:hanging="298"/>
        <w:jc w:val="left"/>
        <w:rPr>
          <w:sz w:val="18"/>
        </w:rPr>
      </w:pPr>
      <w:r>
        <w:rPr>
          <w:w w:val="105"/>
          <w:sz w:val="18"/>
        </w:rPr>
        <w:t>Identified a recurring labeling error in pediatric suspensions and led the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workflow fix.</w:t>
      </w:r>
    </w:p>
    <w:p>
      <w:pPr>
        <w:pStyle w:val="BodyText"/>
        <w:spacing w:before="191"/>
        <w:ind w:left="0"/>
      </w:pPr>
    </w:p>
    <w:p>
      <w:pPr>
        <w:pStyle w:val="Heading2"/>
        <w:ind w:left="430"/>
      </w:pPr>
      <w:r>
        <w:rPr>
          <w:color w:val="FF7E7E"/>
          <w:spacing w:val="-2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217" w:after="0"/>
        <w:ind w:left="727" w:right="5" w:hanging="298"/>
        <w:jc w:val="left"/>
        <w:rPr>
          <w:position w:val="-4"/>
          <w:sz w:val="31"/>
        </w:rPr>
      </w:pPr>
      <w:r>
        <w:rPr>
          <w:w w:val="105"/>
          <w:sz w:val="18"/>
        </w:rPr>
        <w:t>Doctor of Pharmacy (PharmD), Washington State University College of Pharmacy, </w:t>
      </w:r>
      <w:r>
        <w:rPr>
          <w:spacing w:val="-4"/>
          <w:w w:val="105"/>
          <w:sz w:val="18"/>
        </w:rPr>
        <w:t>2013</w:t>
      </w:r>
    </w:p>
    <w:p>
      <w:pPr>
        <w:pStyle w:val="BodyText"/>
        <w:spacing w:before="56"/>
        <w:ind w:left="0"/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201" w:lineRule="auto" w:before="0" w:after="0"/>
        <w:ind w:left="727" w:right="160" w:hanging="298"/>
        <w:jc w:val="left"/>
        <w:rPr>
          <w:position w:val="-4"/>
          <w:sz w:val="31"/>
        </w:rPr>
      </w:pPr>
      <w:r>
        <w:rPr>
          <w:w w:val="105"/>
          <w:sz w:val="18"/>
        </w:rPr>
        <w:t>PGY-1 Pharmacy Practice Residency, Providence Sacred Heart Medical Center, Spokane, WA, 2014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283"/>
          <w:cols w:num="2" w:equalWidth="0">
            <w:col w:w="2976" w:space="465"/>
            <w:col w:w="7771"/>
          </w:cols>
        </w:sectPr>
      </w:pPr>
    </w:p>
    <w:p>
      <w:pPr>
        <w:pStyle w:val="BodyText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2600325" cy="10706100"/>
                          <a:chExt cx="2600325" cy="107061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00024" y="0"/>
                            <a:ext cx="240030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10706100">
                                <a:moveTo>
                                  <a:pt x="240029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23849"/>
                            <a:ext cx="200025" cy="1819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1819275">
                                <a:moveTo>
                                  <a:pt x="0" y="1819274"/>
                                </a:moveTo>
                                <a:lnTo>
                                  <a:pt x="200024" y="1819274"/>
                                </a:lnTo>
                                <a:lnTo>
                                  <a:pt x="2000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19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00024" y="323849"/>
                            <a:ext cx="2400300" cy="1819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1819275">
                                <a:moveTo>
                                  <a:pt x="2400299" y="1819274"/>
                                </a:moveTo>
                                <a:lnTo>
                                  <a:pt x="0" y="1819274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1819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4.75pt;height:843pt;mso-position-horizontal-relative:page;mso-position-vertical-relative:page;z-index:15729152" id="docshapegroup9" coordorigin="0,0" coordsize="4095,16860">
                <v:rect style="position:absolute;left:315;top:0;width:3780;height:16860" id="docshape10" filled="true" fillcolor="#ff7e7e" stroked="false">
                  <v:fill type="solid"/>
                </v:rect>
                <v:rect style="position:absolute;left:0;top:510;width:315;height:2865" id="docshape11" filled="true" fillcolor="#ffffff" stroked="false">
                  <v:fill type="solid"/>
                </v:rect>
                <v:rect style="position:absolute;left:315;top:510;width:3780;height:2865" id="docshape12" filled="true" fillcolor="#ff7e7e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53"/>
        <w:ind w:left="0"/>
      </w:pPr>
    </w:p>
    <w:p>
      <w:pPr>
        <w:pStyle w:val="ListParagraph"/>
        <w:numPr>
          <w:ilvl w:val="1"/>
          <w:numId w:val="1"/>
        </w:numPr>
        <w:tabs>
          <w:tab w:pos="4166" w:val="left" w:leader="none"/>
          <w:tab w:pos="4168" w:val="left" w:leader="none"/>
        </w:tabs>
        <w:spacing w:line="189" w:lineRule="auto" w:before="0" w:after="0"/>
        <w:ind w:left="4168" w:right="576" w:hanging="298"/>
        <w:jc w:val="left"/>
        <w:rPr>
          <w:sz w:val="18"/>
        </w:rPr>
      </w:pPr>
      <w:r>
        <w:rPr>
          <w:w w:val="105"/>
          <w:sz w:val="18"/>
        </w:rPr>
        <w:t>Board Certified Ambulatory Care Pharmacist (BCACP), Board of Pharmacy Specialties, 2017 (recertified 2024)</w:t>
      </w:r>
    </w:p>
    <w:p>
      <w:pPr>
        <w:pStyle w:val="BodyText"/>
        <w:spacing w:before="83"/>
        <w:ind w:left="0"/>
      </w:pPr>
    </w:p>
    <w:p>
      <w:pPr>
        <w:pStyle w:val="ListParagraph"/>
        <w:numPr>
          <w:ilvl w:val="1"/>
          <w:numId w:val="1"/>
        </w:numPr>
        <w:tabs>
          <w:tab w:pos="4166" w:val="left" w:leader="none"/>
          <w:tab w:pos="4168" w:val="left" w:leader="none"/>
        </w:tabs>
        <w:spacing w:line="189" w:lineRule="auto" w:before="0" w:after="0"/>
        <w:ind w:left="4168" w:right="502" w:hanging="298"/>
        <w:jc w:val="left"/>
        <w:rPr>
          <w:sz w:val="18"/>
        </w:rPr>
      </w:pPr>
      <w:r>
        <w:rPr>
          <w:w w:val="105"/>
          <w:sz w:val="18"/>
        </w:rPr>
        <w:t>Licensed Pharmacist, Washington State Board of Pharmacy, License #RPH-</w:t>
      </w:r>
      <w:r>
        <w:rPr>
          <w:spacing w:val="-2"/>
          <w:w w:val="105"/>
          <w:sz w:val="18"/>
        </w:rPr>
        <w:t>00428591</w:t>
      </w:r>
    </w:p>
    <w:p>
      <w:pPr>
        <w:pStyle w:val="BodyText"/>
        <w:spacing w:before="32"/>
        <w:ind w:left="0"/>
      </w:pPr>
    </w:p>
    <w:p>
      <w:pPr>
        <w:pStyle w:val="ListParagraph"/>
        <w:numPr>
          <w:ilvl w:val="1"/>
          <w:numId w:val="1"/>
        </w:numPr>
        <w:tabs>
          <w:tab w:pos="4167" w:val="left" w:leader="none"/>
        </w:tabs>
        <w:spacing w:line="240" w:lineRule="auto" w:before="0" w:after="0"/>
        <w:ind w:left="4167" w:right="0" w:hanging="296"/>
        <w:jc w:val="left"/>
        <w:rPr>
          <w:sz w:val="18"/>
        </w:rPr>
      </w:pPr>
      <w:r>
        <w:rPr>
          <w:w w:val="105"/>
          <w:sz w:val="18"/>
        </w:rPr>
        <w:t>Licensed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Pharmacist,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Idaho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State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Board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Pharmacy,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License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#PHAR-</w:t>
      </w:r>
      <w:r>
        <w:rPr>
          <w:spacing w:val="-2"/>
          <w:w w:val="105"/>
          <w:sz w:val="18"/>
        </w:rPr>
        <w:t>12847</w:t>
      </w:r>
    </w:p>
    <w:p>
      <w:pPr>
        <w:pStyle w:val="ListParagraph"/>
        <w:numPr>
          <w:ilvl w:val="1"/>
          <w:numId w:val="1"/>
        </w:numPr>
        <w:tabs>
          <w:tab w:pos="4167" w:val="left" w:leader="none"/>
        </w:tabs>
        <w:spacing w:line="240" w:lineRule="auto" w:before="139" w:after="0"/>
        <w:ind w:left="4167" w:right="0" w:hanging="296"/>
        <w:jc w:val="left"/>
        <w:rPr>
          <w:sz w:val="18"/>
        </w:rPr>
      </w:pPr>
      <w:r>
        <w:rPr>
          <w:w w:val="105"/>
          <w:sz w:val="18"/>
        </w:rPr>
        <w:t>Collaborative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Drug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Therapy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Agreement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(CDTA)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Certified,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Washington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State,</w:t>
      </w:r>
      <w:r>
        <w:rPr>
          <w:spacing w:val="13"/>
          <w:w w:val="105"/>
          <w:sz w:val="18"/>
        </w:rPr>
        <w:t> </w:t>
      </w:r>
      <w:r>
        <w:rPr>
          <w:spacing w:val="-4"/>
          <w:w w:val="105"/>
          <w:sz w:val="18"/>
        </w:rPr>
        <w:t>2018</w:t>
      </w:r>
    </w:p>
    <w:sectPr>
      <w:pgSz w:w="11920" w:h="16860"/>
      <w:pgMar w:top="0" w:bottom="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8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0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2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4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6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727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52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2026-07-08T20:15:02Z</dcterms:created>
  <dcterms:modified xsi:type="dcterms:W3CDTF">2026-07-08T20:15:02Z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2026-07-08T00:00:00Z</vt:filetime>
  </property>
  <property fmtid="{D5CDD505-2E9C-101B-9397-08002B2CF9AE}" pid="5" name="Producer">
    <vt:lpwstr>pdf-merger-js</vt:lpwstr>
  </property>
</Properties>
</file>