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(612)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555-0156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terrence.okafor@example.com</w:t>
        </w:r>
      </w:hyperlink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0"/>
          <w:w w:val="105"/>
          <w:sz w:val="18"/>
        </w:rPr>
        <w:t> </w:t>
      </w:r>
      <w:r>
        <w:rPr>
          <w:color w:val="FFFFFF"/>
          <w:w w:val="105"/>
          <w:sz w:val="16"/>
        </w:rPr>
        <w:t>Minneapolis,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Gary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Mitchell</w:t>
      </w:r>
    </w:p>
    <w:p>
      <w:pPr>
        <w:pStyle w:val="Heading2"/>
      </w:pPr>
      <w:r>
        <w:rPr>
          <w:color w:val="FFFFFF"/>
        </w:rPr>
        <w:t>It</w:t>
      </w:r>
      <w:r>
        <w:rPr>
          <w:color w:val="FFFFFF"/>
          <w:spacing w:val="22"/>
        </w:rPr>
        <w:t> </w:t>
      </w:r>
      <w:r>
        <w:rPr>
          <w:color w:val="FFFFFF"/>
        </w:rPr>
        <w:t>Project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669" w:right="100" w:firstLine="0"/>
        <w:jc w:val="left"/>
        <w:rPr>
          <w:sz w:val="16"/>
        </w:rPr>
      </w:pPr>
      <w:r>
        <w:rPr>
          <w:color w:val="FFFFFF"/>
          <w:w w:val="105"/>
          <w:sz w:val="16"/>
        </w:rPr>
        <w:t>IT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16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multi-year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transformation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programs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retail,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manufacturing,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services.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Track record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standing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offices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scratch,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governing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seven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eight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figure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budgets,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presenting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CIO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board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level.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-18978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9437pt;width:176.25pt;height:24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  <w:spacing w:line="271" w:lineRule="auto" w:before="135"/>
        <w:ind w:left="576"/>
        <w:rPr>
          <w:position w:val="2"/>
        </w:rPr>
      </w:pPr>
      <w:r>
        <w:rPr>
          <w:w w:val="105"/>
        </w:rPr>
        <w:t>M.B.A., Carlson School of Management, University of Minnesota, 2014 </w:t>
      </w:r>
      <w:r>
        <w:rPr>
          <w:w w:val="105"/>
          <w:position w:val="2"/>
        </w:rPr>
        <w:t>|</w:t>
      </w:r>
    </w:p>
    <w:p>
      <w:pPr>
        <w:pStyle w:val="BodyText"/>
        <w:spacing w:before="166"/>
      </w:pPr>
    </w:p>
    <w:p>
      <w:pPr>
        <w:pStyle w:val="BodyText"/>
        <w:spacing w:line="278" w:lineRule="auto"/>
        <w:ind w:left="576"/>
      </w:pPr>
      <w:r>
        <w:rPr>
          <w:w w:val="105"/>
        </w:rPr>
        <w:t>B.S. Computer Engineering, Case </w:t>
      </w:r>
      <w:r>
        <w:rPr/>
        <w:t>Western</w:t>
      </w:r>
      <w:r>
        <w:rPr>
          <w:spacing w:val="40"/>
        </w:rPr>
        <w:t> </w:t>
      </w:r>
      <w:r>
        <w:rPr/>
        <w:t>Reserve</w:t>
      </w:r>
      <w:r>
        <w:rPr>
          <w:spacing w:val="41"/>
        </w:rPr>
        <w:t> </w:t>
      </w:r>
      <w:r>
        <w:rPr/>
        <w:t>University,</w:t>
      </w:r>
      <w:r>
        <w:rPr>
          <w:spacing w:val="40"/>
        </w:rPr>
        <w:t> </w:t>
      </w:r>
      <w:r>
        <w:rPr>
          <w:spacing w:val="-4"/>
        </w:rPr>
        <w:t>2008</w:t>
      </w:r>
    </w:p>
    <w:p>
      <w:pPr>
        <w:spacing w:line="192" w:lineRule="exact" w:before="0"/>
        <w:ind w:left="632" w:right="0" w:firstLine="0"/>
        <w:jc w:val="left"/>
        <w:rPr>
          <w:sz w:val="18"/>
        </w:rPr>
      </w:pPr>
      <w:r>
        <w:rPr>
          <w:spacing w:val="-10"/>
          <w:sz w:val="18"/>
        </w:rPr>
        <w:t>|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83" w:lineRule="auto"/>
        <w:ind w:left="576"/>
        <w:rPr>
          <w:position w:val="2"/>
        </w:rPr>
      </w:pPr>
      <w:r>
        <w:rPr>
          <w:w w:val="105"/>
        </w:rPr>
        <w:t>PgMP,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9"/>
          <w:w w:val="105"/>
        </w:rPr>
        <w:t> </w:t>
      </w:r>
      <w:r>
        <w:rPr>
          <w:w w:val="105"/>
        </w:rPr>
        <w:t>Management Institute, 2018 </w:t>
      </w:r>
      <w:r>
        <w:rPr>
          <w:w w:val="105"/>
          <w:position w:val="2"/>
        </w:rPr>
        <w:t>|</w:t>
      </w:r>
    </w:p>
    <w:p>
      <w:pPr>
        <w:pStyle w:val="BodyText"/>
        <w:spacing w:before="155"/>
      </w:pPr>
    </w:p>
    <w:p>
      <w:pPr>
        <w:pStyle w:val="BodyText"/>
        <w:spacing w:line="264" w:lineRule="auto"/>
        <w:ind w:left="576" w:right="694"/>
        <w:rPr>
          <w:position w:val="2"/>
        </w:rPr>
      </w:pPr>
      <w:r>
        <w:rPr>
          <w:w w:val="105"/>
        </w:rPr>
        <w:t>PMP,</w:t>
      </w:r>
      <w:r>
        <w:rPr>
          <w:spacing w:val="-14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Management Institute, 2011 </w:t>
      </w:r>
      <w:r>
        <w:rPr>
          <w:w w:val="105"/>
          <w:position w:val="2"/>
        </w:rPr>
        <w:t>|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IT</w:t>
      </w:r>
      <w:r>
        <w:rPr>
          <w:spacing w:val="2"/>
          <w:w w:val="105"/>
        </w:rPr>
        <w:t> </w:t>
      </w:r>
      <w:r>
        <w:rPr>
          <w:w w:val="105"/>
        </w:rPr>
        <w:t>Program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6"/>
        <w:ind w:left="576"/>
      </w:pPr>
      <w:r>
        <w:rPr>
          <w:w w:val="105"/>
        </w:rPr>
        <w:t>Lakeshore</w:t>
      </w:r>
      <w:r>
        <w:rPr>
          <w:spacing w:val="9"/>
          <w:w w:val="105"/>
        </w:rPr>
        <w:t> </w:t>
      </w:r>
      <w:r>
        <w:rPr>
          <w:w w:val="105"/>
        </w:rPr>
        <w:t>Brands</w:t>
      </w:r>
      <w:r>
        <w:rPr>
          <w:spacing w:val="10"/>
          <w:w w:val="105"/>
        </w:rPr>
        <w:t> </w:t>
      </w:r>
      <w:r>
        <w:rPr>
          <w:w w:val="105"/>
        </w:rPr>
        <w:t>Group,</w:t>
      </w:r>
      <w:r>
        <w:rPr>
          <w:spacing w:val="10"/>
          <w:w w:val="105"/>
        </w:rPr>
        <w:t> </w:t>
      </w:r>
      <w:r>
        <w:rPr>
          <w:w w:val="105"/>
        </w:rPr>
        <w:t>Minneapolis,</w:t>
      </w:r>
      <w:r>
        <w:rPr>
          <w:spacing w:val="10"/>
          <w:w w:val="105"/>
        </w:rPr>
        <w:t> </w:t>
      </w:r>
      <w:r>
        <w:rPr>
          <w:w w:val="105"/>
        </w:rPr>
        <w:t>MN,</w:t>
      </w:r>
      <w:r>
        <w:rPr>
          <w:spacing w:val="6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2019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0" w:after="0"/>
        <w:ind w:left="1004" w:right="100" w:hanging="298"/>
        <w:jc w:val="left"/>
        <w:rPr>
          <w:position w:val="-2"/>
          <w:sz w:val="31"/>
        </w:rPr>
      </w:pPr>
      <w:r>
        <w:rPr>
          <w:w w:val="105"/>
          <w:sz w:val="18"/>
        </w:rPr>
        <w:t>Run a global SAP S/4HANA program spanning 11 countries and a total budget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 $42M across three release waves.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8" w:after="0"/>
        <w:ind w:left="1004" w:right="527" w:hanging="298"/>
        <w:jc w:val="left"/>
        <w:rPr>
          <w:position w:val="-4"/>
          <w:sz w:val="31"/>
        </w:rPr>
      </w:pPr>
      <w:r>
        <w:rPr>
          <w:w w:val="105"/>
          <w:sz w:val="18"/>
        </w:rPr>
        <w:t>Govern a delivery org of 130+ across internal staff, two SI partners, and a managed services vendor.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226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Chair the monthly executive steering committee with the CIO, CFO, and three division presidents.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81" w:after="0"/>
        <w:ind w:left="1004" w:right="244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Restructured the program's funding model mid-flight, freeing roughly $6M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scope previously deferred to phase 2.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356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benefits realization framework that ties each release to a measurable EBITDA or working capital lever.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0" w:right="141"/>
          <w:cols w:num="2" w:equalWidth="0">
            <w:col w:w="3538" w:space="330"/>
            <w:col w:w="7911"/>
          </w:cols>
        </w:sectPr>
      </w:pPr>
    </w:p>
    <w:p>
      <w:pPr>
        <w:pStyle w:val="BodyText"/>
        <w:spacing w:before="185"/>
        <w:ind w:left="44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2371724</wp:posOffset>
                </wp:positionH>
                <wp:positionV relativeFrom="paragraph">
                  <wp:posOffset>-2566204</wp:posOffset>
                </wp:positionV>
                <wp:extent cx="9525" cy="80962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749985pt;margin-top:-202.063339pt;width:.75pt;height:637.499949pt;mso-position-horizontal-relative:page;mso-position-vertical-relative:paragraph;z-index:-1579520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Senior</w:t>
      </w:r>
      <w:r>
        <w:rPr>
          <w:spacing w:val="10"/>
          <w:w w:val="105"/>
        </w:rPr>
        <w:t> </w:t>
      </w:r>
      <w:r>
        <w:rPr>
          <w:w w:val="105"/>
        </w:rPr>
        <w:t>Program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21"/>
        <w:ind w:left="4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42386</wp:posOffset>
                </wp:positionV>
                <wp:extent cx="2238375" cy="3143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.337519pt;width:176.25pt;height:24.7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Foxhaven</w:t>
      </w:r>
      <w:r>
        <w:rPr>
          <w:spacing w:val="30"/>
        </w:rPr>
        <w:t> </w:t>
      </w:r>
      <w:r>
        <w:rPr/>
        <w:t>Capital</w:t>
      </w:r>
      <w:r>
        <w:rPr>
          <w:spacing w:val="30"/>
        </w:rPr>
        <w:t> </w:t>
      </w:r>
      <w:r>
        <w:rPr/>
        <w:t>Partners,</w:t>
      </w:r>
      <w:r>
        <w:rPr>
          <w:spacing w:val="31"/>
        </w:rPr>
        <w:t> </w:t>
      </w:r>
      <w:r>
        <w:rPr/>
        <w:t>Charlotte,</w:t>
      </w:r>
      <w:r>
        <w:rPr>
          <w:spacing w:val="30"/>
        </w:rPr>
        <w:t> </w:t>
      </w:r>
      <w:r>
        <w:rPr/>
        <w:t>NC,</w:t>
      </w:r>
      <w:r>
        <w:rPr>
          <w:spacing w:val="28"/>
        </w:rPr>
        <w:t>  </w:t>
      </w:r>
      <w:r>
        <w:rPr>
          <w:position w:val="2"/>
        </w:rPr>
        <w:t>|</w:t>
      </w:r>
      <w:r>
        <w:rPr>
          <w:spacing w:val="30"/>
          <w:position w:val="2"/>
        </w:rPr>
        <w:t> </w:t>
      </w:r>
      <w:r>
        <w:rPr/>
        <w:t>2015</w:t>
      </w:r>
      <w:r>
        <w:rPr>
          <w:spacing w:val="31"/>
        </w:rPr>
        <w:t> </w:t>
      </w:r>
      <w:r>
        <w:rPr/>
        <w:t>–</w:t>
      </w:r>
      <w:r>
        <w:rPr>
          <w:spacing w:val="30"/>
        </w:rPr>
        <w:t> </w:t>
      </w:r>
      <w:r>
        <w:rPr>
          <w:spacing w:val="-4"/>
        </w:rPr>
        <w:t>2019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8" w:lineRule="auto" w:before="0" w:after="0"/>
        <w:ind w:left="873" w:right="321" w:hanging="298"/>
        <w:jc w:val="left"/>
        <w:rPr>
          <w:position w:val="-3"/>
          <w:sz w:val="31"/>
        </w:rPr>
      </w:pPr>
      <w:r>
        <w:rPr>
          <w:w w:val="105"/>
          <w:sz w:val="18"/>
        </w:rPr>
        <w:t>Program governance and PMO build-out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36" w:lineRule="exact" w:before="57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Multi-vendor</w:t>
      </w:r>
      <w:r>
        <w:rPr>
          <w:spacing w:val="29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Benefits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realization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S/4HANA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Azure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delivery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738" w:hanging="298"/>
        <w:jc w:val="left"/>
        <w:rPr>
          <w:position w:val="-4"/>
          <w:sz w:val="31"/>
        </w:rPr>
      </w:pPr>
      <w:r>
        <w:rPr>
          <w:w w:val="105"/>
          <w:sz w:val="18"/>
        </w:rPr>
        <w:t>Executive and board </w:t>
      </w:r>
      <w:r>
        <w:rPr>
          <w:spacing w:val="-2"/>
          <w:w w:val="105"/>
          <w:sz w:val="18"/>
        </w:rPr>
        <w:t>communication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43" w:lineRule="exact" w:before="6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Budget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capex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94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Risk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readiness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139" w:after="0"/>
        <w:ind w:left="873" w:right="44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Led a cloud and data center exit program retiring 9 facilities and migrating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600+ applications to Azure.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1" w:after="0"/>
        <w:ind w:left="873" w:right="873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a $28M program budget, closing each fiscal year within 4%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variance.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164" w:hanging="298"/>
        <w:jc w:val="left"/>
        <w:rPr>
          <w:position w:val="-4"/>
          <w:sz w:val="31"/>
        </w:rPr>
      </w:pPr>
      <w:r>
        <w:rPr>
          <w:w w:val="105"/>
          <w:sz w:val="18"/>
        </w:rPr>
        <w:t>Negotiated a master services agreement with a tier-1 SI that reduced blended rate by about 12%.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15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Stood up a portfolio PMO of 8 PMs and 2 schedulers, with shared governance and reporting standards.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409" w:hanging="298"/>
        <w:jc w:val="left"/>
        <w:rPr>
          <w:position w:val="-4"/>
          <w:sz w:val="31"/>
        </w:rPr>
      </w:pPr>
      <w:r>
        <w:rPr>
          <w:w w:val="105"/>
          <w:sz w:val="18"/>
        </w:rPr>
        <w:t>Briefed the board's technology committee quarterly on progress, risks, and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benefits.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0" w:right="141"/>
          <w:cols w:num="2" w:equalWidth="0">
            <w:col w:w="3404" w:space="595"/>
            <w:col w:w="7780"/>
          </w:cols>
        </w:sectPr>
      </w:pP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36" w:lineRule="exact" w:before="22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M&amp;A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integration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18" w:after="0"/>
        <w:ind w:left="873" w:right="362" w:hanging="298"/>
        <w:jc w:val="left"/>
        <w:rPr>
          <w:position w:val="-4"/>
          <w:sz w:val="31"/>
        </w:rPr>
      </w:pPr>
      <w:r>
        <w:rPr>
          <w:w w:val="105"/>
          <w:sz w:val="18"/>
        </w:rPr>
        <w:t>Organizational change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Earned value and portfolio </w:t>
      </w:r>
      <w:r>
        <w:rPr>
          <w:spacing w:val="-2"/>
          <w:w w:val="105"/>
          <w:sz w:val="18"/>
        </w:rPr>
        <w:t>reporting</w:t>
      </w:r>
    </w:p>
    <w:p>
      <w:pPr>
        <w:pStyle w:val="BodyText"/>
        <w:spacing w:line="181" w:lineRule="exact"/>
        <w:ind w:left="576"/>
      </w:pPr>
      <w:r>
        <w:rPr/>
        <w:br w:type="column"/>
      </w:r>
      <w:r>
        <w:rPr>
          <w:w w:val="105"/>
        </w:rPr>
        <w:t>Program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6"/>
        <w:ind w:left="576"/>
      </w:pPr>
      <w:r>
        <w:rPr/>
        <w:t>Foxhaven</w:t>
      </w:r>
      <w:r>
        <w:rPr>
          <w:spacing w:val="30"/>
        </w:rPr>
        <w:t> </w:t>
      </w:r>
      <w:r>
        <w:rPr/>
        <w:t>Capital</w:t>
      </w:r>
      <w:r>
        <w:rPr>
          <w:spacing w:val="30"/>
        </w:rPr>
        <w:t> </w:t>
      </w:r>
      <w:r>
        <w:rPr/>
        <w:t>Partners,</w:t>
      </w:r>
      <w:r>
        <w:rPr>
          <w:spacing w:val="31"/>
        </w:rPr>
        <w:t> </w:t>
      </w:r>
      <w:r>
        <w:rPr/>
        <w:t>Charlotte,</w:t>
      </w:r>
      <w:r>
        <w:rPr>
          <w:spacing w:val="30"/>
        </w:rPr>
        <w:t> </w:t>
      </w:r>
      <w:r>
        <w:rPr/>
        <w:t>NC,</w:t>
      </w:r>
      <w:r>
        <w:rPr>
          <w:spacing w:val="28"/>
        </w:rPr>
        <w:t>  </w:t>
      </w:r>
      <w:r>
        <w:rPr>
          <w:position w:val="2"/>
        </w:rPr>
        <w:t>|</w:t>
      </w:r>
      <w:r>
        <w:rPr>
          <w:spacing w:val="30"/>
          <w:position w:val="2"/>
        </w:rPr>
        <w:t> </w:t>
      </w:r>
      <w:r>
        <w:rPr/>
        <w:t>2012</w:t>
      </w:r>
      <w:r>
        <w:rPr>
          <w:spacing w:val="31"/>
        </w:rPr>
        <w:t> </w:t>
      </w:r>
      <w:r>
        <w:rPr/>
        <w:t>–</w:t>
      </w:r>
      <w:r>
        <w:rPr>
          <w:spacing w:val="30"/>
        </w:rPr>
        <w:t> </w:t>
      </w:r>
      <w:r>
        <w:rPr>
          <w:spacing w:val="-4"/>
        </w:rPr>
        <w:t>2015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201" w:lineRule="auto" w:before="0" w:after="0"/>
        <w:ind w:left="1004" w:right="451" w:hanging="298"/>
        <w:jc w:val="left"/>
        <w:rPr>
          <w:sz w:val="18"/>
        </w:rPr>
      </w:pPr>
      <w:r>
        <w:rPr>
          <w:w w:val="105"/>
          <w:sz w:val="18"/>
        </w:rPr>
        <w:t>Delivered a regulatory reporting platform under a hard CFTC deadline with zero finding on first audit.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444" w:hanging="298"/>
        <w:jc w:val="left"/>
        <w:rPr>
          <w:sz w:val="18"/>
        </w:rPr>
      </w:pPr>
      <w:r>
        <w:rPr>
          <w:w w:val="105"/>
          <w:sz w:val="18"/>
        </w:rPr>
        <w:t>Coordinated 5 parallel workstreams covering data, reporting, controls,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end-user training.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</w:tabs>
        <w:spacing w:line="343" w:lineRule="exact" w:before="59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$9.5M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capex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opex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pools.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38" w:after="0"/>
        <w:ind w:left="1004" w:right="213" w:hanging="298"/>
        <w:jc w:val="left"/>
        <w:rPr>
          <w:sz w:val="18"/>
        </w:rPr>
      </w:pPr>
      <w:r>
        <w:rPr>
          <w:w w:val="105"/>
          <w:sz w:val="18"/>
        </w:rPr>
        <w:t>Introduced quarterly business reviews for vendor partners, improving on-time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delivery materially.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0" w:left="0" w:right="141"/>
          <w:cols w:num="2" w:equalWidth="0">
            <w:col w:w="3204" w:space="664"/>
            <w:col w:w="7911"/>
          </w:cols>
        </w:sectPr>
      </w:pPr>
    </w:p>
    <w:p>
      <w:pPr>
        <w:pStyle w:val="BodyText"/>
        <w:spacing w:before="1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71724" y="2152649"/>
                            <a:ext cx="9525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943600">
                                <a:moveTo>
                                  <a:pt x="0" y="5943599"/>
                                </a:moveTo>
                                <a:lnTo>
                                  <a:pt x="9524" y="59435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52650">
                                <a:moveTo>
                                  <a:pt x="7568183" y="2152649"/>
                                </a:moveTo>
                                <a:lnTo>
                                  <a:pt x="0" y="2152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5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66987" y="230506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75"/>
                                </a:moveTo>
                                <a:lnTo>
                                  <a:pt x="370827" y="66675"/>
                                </a:lnTo>
                                <a:lnTo>
                                  <a:pt x="361467" y="57315"/>
                                </a:lnTo>
                                <a:lnTo>
                                  <a:pt x="356311" y="52654"/>
                                </a:lnTo>
                                <a:lnTo>
                                  <a:pt x="322427" y="28371"/>
                                </a:lnTo>
                                <a:lnTo>
                                  <a:pt x="284454" y="11163"/>
                                </a:lnTo>
                                <a:lnTo>
                                  <a:pt x="243865" y="1701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71309" y="361454"/>
                                </a:lnTo>
                                <a:lnTo>
                                  <a:pt x="379145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3907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371724" y="2152649"/>
                            <a:ext cx="9525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29600">
                                <a:moveTo>
                                  <a:pt x="9524" y="8229599"/>
                                </a:moveTo>
                                <a:lnTo>
                                  <a:pt x="0" y="8229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22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3431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65645" y="352425"/>
                                </a:lnTo>
                                <a:lnTo>
                                  <a:pt x="266065" y="352882"/>
                                </a:lnTo>
                                <a:lnTo>
                                  <a:pt x="296964" y="379984"/>
                                </a:lnTo>
                                <a:lnTo>
                                  <a:pt x="332562" y="400532"/>
                                </a:lnTo>
                                <a:lnTo>
                                  <a:pt x="371475" y="41374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84"/>
                                </a:lnTo>
                                <a:lnTo>
                                  <a:pt x="581647" y="352882"/>
                                </a:lnTo>
                                <a:lnTo>
                                  <a:pt x="582053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4098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419737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61937"/>
                                </a:lnTo>
                                <a:lnTo>
                                  <a:pt x="267347" y="361937"/>
                                </a:lnTo>
                                <a:lnTo>
                                  <a:pt x="276707" y="371297"/>
                                </a:lnTo>
                                <a:lnTo>
                                  <a:pt x="309778" y="396671"/>
                                </a:lnTo>
                                <a:lnTo>
                                  <a:pt x="347167" y="415099"/>
                                </a:lnTo>
                                <a:lnTo>
                                  <a:pt x="387438" y="425894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364" y="361937"/>
                                </a:lnTo>
                                <a:lnTo>
                                  <a:pt x="2238362" y="36193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495924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94688" id="docshapegroup4" coordorigin="0,0" coordsize="11919,16350">
                <v:rect style="position:absolute;left:3735;top:3390;width:15;height:9360" id="docshape5" filled="true" fillcolor="#000000" stroked="false">
                  <v:fill type="solid"/>
                </v:rect>
                <v:rect style="position:absolute;left:0;top:0;width:11919;height:3390" id="docshape6" filled="true" fillcolor="#424242" stroked="false">
                  <v:fill type="solid"/>
                </v:rect>
                <v:shape style="position:absolute;left:4199;top:3630;width:7719;height:675" id="docshape7" coordorigin="4200,3630" coordsize="7719,675" path="m11918,3735l4784,3735,4769,3720,4761,3713,4708,3675,4648,3648,4584,3633,4551,3630,4524,3630,4459,3639,4396,3660,4340,3692,4290,3736,4250,3788,4221,3847,4204,3910,4200,3970,4200,3981,4209,4046,4230,4109,4262,4165,4306,4215,4358,4255,4417,4284,4480,4301,4524,4305,4551,4305,4616,4296,4679,4275,4735,4243,4785,4199,4797,4185,11918,4185,11918,3735xe" filled="true" fillcolor="#bc9300" stroked="false">
                  <v:path arrowok="t"/>
                  <v:fill type="solid"/>
                </v:shape>
                <v:shape style="position:absolute;left:4335;top:3765;width:405;height:405" type="#_x0000_t75" id="docshape8" stroked="false">
                  <v:imagedata r:id="rId6" o:title=""/>
                </v:shape>
                <v:rect style="position:absolute;left:3735;top:3390;width:15;height:12960" id="docshape9" filled="true" fillcolor="#000000" stroked="false">
                  <v:fill type="solid"/>
                </v:rect>
                <v:shape style="position:absolute;left:0;top:3690;width:3525;height:660" id="docshape10" coordorigin="0,3690" coordsize="3525,660" path="m3525,3765l884,3765,876,3758,867,3752,811,3719,750,3698,686,3690,649,3690,585,3698,524,3719,468,3752,451,3765,0,3765,0,4245,418,4245,419,4246,468,4288,524,4321,585,4342,649,4350,686,4350,750,4342,811,4321,867,4288,916,4246,917,4245,3525,4245,3525,3765xe" filled="true" fillcolor="#bc9300" stroked="false">
                  <v:path arrowok="t"/>
                  <v:fill type="solid"/>
                </v:shape>
                <v:shape style="position:absolute;left:450;top:3795;width:435;height:450" type="#_x0000_t75" id="docshape11" stroked="false">
                  <v:imagedata r:id="rId7" o:title=""/>
                </v:shape>
                <v:shape style="position:absolute;left:0;top:8535;width:3525;height:675" id="docshape12" coordorigin="0,8535" coordsize="3525,675" path="m3525,8610l881,8610,874,8604,865,8597,809,8565,746,8544,681,8535,654,8535,589,8544,526,8565,470,8597,454,8610,0,8610,0,9105,421,9105,436,9120,488,9160,547,9189,610,9206,654,9210,681,9210,746,9201,809,9180,865,9148,914,9105,3525,9105,3525,8610xe" filled="true" fillcolor="#bc9300" stroked="false">
                  <v:path arrowok="t"/>
                  <v:fill type="solid"/>
                </v:shape>
                <v:shape style="position:absolute;left:450;top:8655;width:435;height:435" type="#_x0000_t75" id="docshape13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444"/>
      </w:pPr>
      <w:r>
        <w:rPr>
          <w:w w:val="105"/>
        </w:rPr>
        <w:t>Senior</w:t>
      </w:r>
      <w:r>
        <w:rPr>
          <w:spacing w:val="10"/>
          <w:w w:val="105"/>
        </w:rPr>
        <w:t> </w:t>
      </w:r>
      <w:r>
        <w:rPr>
          <w:w w:val="105"/>
        </w:rPr>
        <w:t>IT</w:t>
      </w:r>
      <w:r>
        <w:rPr>
          <w:spacing w:val="6"/>
          <w:w w:val="105"/>
        </w:rPr>
        <w:t> </w:t>
      </w:r>
      <w:r>
        <w:rPr>
          <w:w w:val="105"/>
        </w:rPr>
        <w:t>Project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21"/>
        <w:ind w:left="4444"/>
      </w:pPr>
      <w:r>
        <w:rPr>
          <w:w w:val="105"/>
        </w:rPr>
        <w:t>Bristol</w:t>
      </w:r>
      <w:r>
        <w:rPr>
          <w:spacing w:val="10"/>
          <w:w w:val="105"/>
        </w:rPr>
        <w:t> </w:t>
      </w:r>
      <w:r>
        <w:rPr>
          <w:w w:val="105"/>
        </w:rPr>
        <w:t>&amp;</w:t>
      </w:r>
      <w:r>
        <w:rPr>
          <w:spacing w:val="11"/>
          <w:w w:val="105"/>
        </w:rPr>
        <w:t> </w:t>
      </w:r>
      <w:r>
        <w:rPr>
          <w:w w:val="105"/>
        </w:rPr>
        <w:t>Crane</w:t>
      </w:r>
      <w:r>
        <w:rPr>
          <w:spacing w:val="11"/>
          <w:w w:val="105"/>
        </w:rPr>
        <w:t> </w:t>
      </w:r>
      <w:r>
        <w:rPr>
          <w:w w:val="105"/>
        </w:rPr>
        <w:t>Manufacturing,</w:t>
      </w:r>
      <w:r>
        <w:rPr>
          <w:spacing w:val="11"/>
          <w:w w:val="105"/>
        </w:rPr>
        <w:t> </w:t>
      </w:r>
      <w:r>
        <w:rPr>
          <w:w w:val="105"/>
        </w:rPr>
        <w:t>Cleveland,</w:t>
      </w:r>
      <w:r>
        <w:rPr>
          <w:spacing w:val="10"/>
          <w:w w:val="105"/>
        </w:rPr>
        <w:t> </w:t>
      </w:r>
      <w:r>
        <w:rPr>
          <w:w w:val="105"/>
        </w:rPr>
        <w:t>OH,</w:t>
      </w:r>
      <w:r>
        <w:rPr>
          <w:spacing w:val="7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1"/>
          <w:w w:val="105"/>
          <w:position w:val="2"/>
        </w:rPr>
        <w:t> </w:t>
      </w:r>
      <w:r>
        <w:rPr>
          <w:w w:val="105"/>
        </w:rPr>
        <w:t>2009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2012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2"/>
        </w:numPr>
        <w:tabs>
          <w:tab w:pos="4870" w:val="left" w:leader="none"/>
          <w:tab w:pos="4872" w:val="left" w:leader="none"/>
        </w:tabs>
        <w:spacing w:line="201" w:lineRule="auto" w:before="1" w:after="0"/>
        <w:ind w:left="4872" w:right="475" w:hanging="298"/>
        <w:jc w:val="left"/>
        <w:rPr>
          <w:sz w:val="18"/>
        </w:rPr>
      </w:pPr>
      <w:r>
        <w:rPr>
          <w:w w:val="105"/>
          <w:sz w:val="18"/>
        </w:rPr>
        <w:t>Led MES and shop-floor integration projects across 6 plants in the US and </w:t>
      </w:r>
      <w:r>
        <w:rPr>
          <w:spacing w:val="-2"/>
          <w:w w:val="105"/>
          <w:sz w:val="18"/>
        </w:rPr>
        <w:t>Mexico.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0" w:left="0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2371724</wp:posOffset>
                </wp:positionH>
                <wp:positionV relativeFrom="page">
                  <wp:posOffset>2609849</wp:posOffset>
                </wp:positionV>
                <wp:extent cx="9525" cy="80962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749985pt;margin-top:205.499985pt;width:.75pt;height:637.499949pt;mso-position-horizontal-relative:page;mso-position-vertical-relative:page;z-index:-15793152" id="docshape1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2"/>
        </w:numPr>
        <w:tabs>
          <w:tab w:pos="4870" w:val="left" w:leader="none"/>
          <w:tab w:pos="4872" w:val="left" w:leader="none"/>
        </w:tabs>
        <w:spacing w:line="201" w:lineRule="auto" w:before="0" w:after="0"/>
        <w:ind w:left="4872" w:right="96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2371712</wp:posOffset>
                </wp:positionH>
                <wp:positionV relativeFrom="paragraph">
                  <wp:posOffset>-300079</wp:posOffset>
                </wp:positionV>
                <wp:extent cx="9525" cy="80962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800225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1800225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49008pt;margin-top:-23.628283pt;width:.75pt;height:637.5pt;mso-position-horizontal-relative:page;mso-position-vertical-relative:paragraph;z-index:15731200" id="docshape15" coordorigin="3735,-473" coordsize="15,12750" path="m3750,-473l3735,-473,3735,37,3735,2362,3735,12277,3750,12277,3750,2362,3750,37,3750,-4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Managed multi-disciplinary teams of engineers, operations leads, and external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integrators.</w:t>
      </w:r>
    </w:p>
    <w:p>
      <w:pPr>
        <w:pStyle w:val="ListParagraph"/>
        <w:numPr>
          <w:ilvl w:val="2"/>
          <w:numId w:val="2"/>
        </w:numPr>
        <w:tabs>
          <w:tab w:pos="4870" w:val="left" w:leader="none"/>
          <w:tab w:pos="4872" w:val="left" w:leader="none"/>
        </w:tabs>
        <w:spacing w:line="201" w:lineRule="auto" w:before="82" w:after="0"/>
        <w:ind w:left="4872" w:right="162" w:hanging="298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phase-gate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manufacturing IT portfolio.</w:t>
      </w:r>
    </w:p>
    <w:p>
      <w:pPr>
        <w:pStyle w:val="ListParagraph"/>
        <w:numPr>
          <w:ilvl w:val="2"/>
          <w:numId w:val="2"/>
        </w:numPr>
        <w:tabs>
          <w:tab w:pos="4870" w:val="left" w:leader="none"/>
          <w:tab w:pos="4872" w:val="left" w:leader="none"/>
        </w:tabs>
        <w:spacing w:line="189" w:lineRule="auto" w:before="108" w:after="0"/>
        <w:ind w:left="4872" w:right="309" w:hanging="298"/>
        <w:jc w:val="left"/>
        <w:rPr>
          <w:sz w:val="18"/>
        </w:rPr>
      </w:pPr>
      <w:r>
        <w:rPr>
          <w:w w:val="105"/>
          <w:sz w:val="18"/>
        </w:rPr>
        <w:t>Closed out a troubled $4M warehouse project with a recovery plan inside 90 </w:t>
      </w:r>
      <w:r>
        <w:rPr>
          <w:spacing w:val="-2"/>
          <w:w w:val="105"/>
          <w:sz w:val="18"/>
        </w:rPr>
        <w:t>days.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rence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2026-07-01T08:42:59Z</dcterms:created>
  <dcterms:modified xsi:type="dcterms:W3CDTF">2026-07-01T08:42:59Z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