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02"/>
        <w:rPr>
          <w:rFonts w:ascii="Times New Roman"/>
          <w:sz w:val="74"/>
        </w:rPr>
      </w:pPr>
    </w:p>
    <w:p>
      <w:pPr>
        <w:spacing w:before="0"/>
        <w:ind w:left="3946" w:right="0" w:firstLine="0"/>
        <w:jc w:val="center"/>
        <w:rPr>
          <w:sz w:val="74"/>
        </w:rPr>
      </w:pPr>
      <w:r>
        <w:rPr>
          <w:b/>
          <w:color w:val="B15E05"/>
          <w:spacing w:val="12"/>
          <w:sz w:val="74"/>
        </w:rPr>
        <w:t>MARISOL</w:t>
      </w:r>
      <w:r>
        <w:rPr>
          <w:b/>
          <w:color w:val="B15E05"/>
          <w:spacing w:val="17"/>
          <w:sz w:val="74"/>
        </w:rPr>
        <w:t> </w:t>
      </w:r>
      <w:r>
        <w:rPr>
          <w:color w:val="B15E05"/>
          <w:spacing w:val="6"/>
          <w:sz w:val="74"/>
        </w:rPr>
        <w:t>VEGA</w:t>
      </w:r>
    </w:p>
    <w:p>
      <w:pPr>
        <w:spacing w:before="192"/>
        <w:ind w:left="3958" w:right="0" w:firstLine="0"/>
        <w:jc w:val="center"/>
        <w:rPr>
          <w:b/>
          <w:sz w:val="22"/>
        </w:rPr>
      </w:pP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2933699</wp:posOffset>
                </wp:positionH>
                <wp:positionV relativeFrom="paragraph">
                  <wp:posOffset>428603</wp:posOffset>
                </wp:positionV>
                <wp:extent cx="4634865" cy="27241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634865" cy="272415"/>
                          <a:chExt cx="4634865" cy="27241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5447"/>
                            <a:ext cx="463486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4865" h="266700">
                                <a:moveTo>
                                  <a:pt x="4634483" y="266699"/>
                                </a:moveTo>
                                <a:lnTo>
                                  <a:pt x="0" y="266699"/>
                                </a:lnTo>
                                <a:lnTo>
                                  <a:pt x="0" y="0"/>
                                </a:lnTo>
                                <a:lnTo>
                                  <a:pt x="4634483" y="0"/>
                                </a:lnTo>
                                <a:lnTo>
                                  <a:pt x="4634483" y="266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53" y="0"/>
                            <a:ext cx="1689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272415">
                                <a:moveTo>
                                  <a:pt x="0" y="0"/>
                                </a:moveTo>
                                <a:lnTo>
                                  <a:pt x="168401" y="0"/>
                                </a:lnTo>
                                <a:lnTo>
                                  <a:pt x="76279" y="147782"/>
                                </a:lnTo>
                                <a:lnTo>
                                  <a:pt x="0" y="2724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303076" y="13225"/>
                            <a:ext cx="33147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470" h="259079">
                                <a:moveTo>
                                  <a:pt x="331407" y="258921"/>
                                </a:moveTo>
                                <a:lnTo>
                                  <a:pt x="0" y="258921"/>
                                </a:lnTo>
                                <a:lnTo>
                                  <a:pt x="176155" y="122478"/>
                                </a:lnTo>
                                <a:lnTo>
                                  <a:pt x="331407" y="0"/>
                                </a:lnTo>
                                <a:lnTo>
                                  <a:pt x="331407" y="258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5E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5447"/>
                            <a:ext cx="4634865" cy="266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6"/>
                                <w:ind w:left="0" w:right="516" w:firstLine="0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24"/>
                                  <w:sz w:val="26"/>
                                </w:rPr>
                                <w:t>ABOUT</w:t>
                              </w:r>
                              <w:r>
                                <w:rPr>
                                  <w:b/>
                                  <w:color w:val="FFFFFF"/>
                                  <w:spacing w:val="67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8"/>
                                  <w:sz w:val="26"/>
                                </w:rPr>
                                <w:t>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0.999969pt;margin-top:33.748310pt;width:364.95pt;height:21.45pt;mso-position-horizontal-relative:page;mso-position-vertical-relative:paragraph;z-index:15729152" id="docshapegroup1" coordorigin="4620,675" coordsize="7299,429">
                <v:rect style="position:absolute;left:4620;top:683;width:7299;height:420" id="docshape2" filled="true" fillcolor="#424242" stroked="false">
                  <v:fill type="solid"/>
                </v:rect>
                <v:shape style="position:absolute;left:4620;top:674;width:266;height:429" id="docshape3" coordorigin="4620,675" coordsize="266,429" path="m4620,675l4886,675,4741,908,4620,1104,4620,675xe" filled="true" fillcolor="#ffffff" stroked="false">
                  <v:path arrowok="t"/>
                  <v:fill type="solid"/>
                </v:shape>
                <v:shape style="position:absolute;left:11396;top:695;width:522;height:408" id="docshape4" coordorigin="11396,696" coordsize="522,408" path="m11918,1104l11396,1104,11674,889,11918,696,11918,1104xe" filled="true" fillcolor="#b15e05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620;top:683;width:7299;height:420" type="#_x0000_t202" id="docshape5" filled="false" stroked="false">
                  <v:textbox inset="0,0,0,0">
                    <w:txbxContent>
                      <w:p>
                        <w:pPr>
                          <w:spacing w:before="56"/>
                          <w:ind w:left="0" w:right="516" w:firstLine="0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pacing w:val="24"/>
                            <w:sz w:val="26"/>
                          </w:rPr>
                          <w:t>ABOUT</w:t>
                        </w:r>
                        <w:r>
                          <w:rPr>
                            <w:b/>
                            <w:color w:val="FFFFFF"/>
                            <w:spacing w:val="67"/>
                            <w:sz w:val="2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8"/>
                            <w:sz w:val="26"/>
                          </w:rPr>
                          <w:t>ME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B15E05"/>
          <w:sz w:val="22"/>
        </w:rPr>
        <w:t>Finance</w:t>
      </w:r>
      <w:r>
        <w:rPr>
          <w:b/>
          <w:color w:val="B15E05"/>
          <w:spacing w:val="34"/>
          <w:sz w:val="22"/>
        </w:rPr>
        <w:t> </w:t>
      </w:r>
      <w:r>
        <w:rPr>
          <w:b/>
          <w:color w:val="B15E05"/>
          <w:spacing w:val="-2"/>
          <w:sz w:val="22"/>
        </w:rPr>
        <w:t>Manager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4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0" w:bottom="0" w:left="283" w:right="0"/>
        </w:sect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171"/>
        <w:rPr>
          <w:b/>
          <w:sz w:val="28"/>
        </w:rPr>
      </w:pPr>
    </w:p>
    <w:p>
      <w:pPr>
        <w:pStyle w:val="Heading1"/>
      </w:pPr>
      <w:r>
        <w:rPr>
          <w:color w:val="FFFFFF"/>
          <w:spacing w:val="21"/>
        </w:rPr>
        <w:t>CONTACT</w:t>
      </w:r>
    </w:p>
    <w:p>
      <w:pPr>
        <w:spacing w:before="23"/>
        <w:ind w:left="107" w:right="0" w:firstLine="0"/>
        <w:jc w:val="left"/>
        <w:rPr>
          <w:b/>
          <w:sz w:val="28"/>
        </w:rPr>
      </w:pPr>
      <w:r>
        <w:rPr>
          <w:b/>
          <w:color w:val="FFFFFF"/>
          <w:spacing w:val="24"/>
          <w:sz w:val="28"/>
        </w:rPr>
        <w:t>INFORMATION</w:t>
      </w:r>
    </w:p>
    <w:p>
      <w:pPr>
        <w:spacing w:before="237"/>
        <w:ind w:left="869" w:right="0" w:firstLine="0"/>
        <w:jc w:val="left"/>
        <w:rPr>
          <w:sz w:val="18"/>
        </w:rPr>
      </w:pPr>
      <w:r>
        <w:rPr>
          <w:color w:val="FFFFFF"/>
          <w:w w:val="105"/>
          <w:sz w:val="18"/>
        </w:rPr>
        <w:t>(919)</w:t>
      </w:r>
      <w:r>
        <w:rPr>
          <w:color w:val="FFFFFF"/>
          <w:spacing w:val="14"/>
          <w:w w:val="105"/>
          <w:sz w:val="18"/>
        </w:rPr>
        <w:t> </w:t>
      </w:r>
      <w:r>
        <w:rPr>
          <w:color w:val="FFFFFF"/>
          <w:w w:val="105"/>
          <w:sz w:val="18"/>
        </w:rPr>
        <w:t>555-</w:t>
      </w:r>
      <w:r>
        <w:rPr>
          <w:color w:val="FFFFFF"/>
          <w:spacing w:val="-4"/>
          <w:w w:val="105"/>
          <w:sz w:val="18"/>
        </w:rPr>
        <w:t>0142</w:t>
      </w:r>
    </w:p>
    <w:p>
      <w:pPr>
        <w:pStyle w:val="BodyText"/>
        <w:spacing w:line="292" w:lineRule="auto" w:before="79"/>
        <w:ind w:left="153" w:right="304"/>
        <w:jc w:val="center"/>
      </w:pPr>
      <w:r>
        <w:rPr/>
        <w:br w:type="column"/>
      </w:r>
      <w:r>
        <w:rPr>
          <w:w w:val="105"/>
        </w:rPr>
        <w:t>Finance manager with seven years across SaaS and healthcare services. Owns FP&amp;A</w:t>
      </w:r>
      <w:r>
        <w:rPr>
          <w:spacing w:val="40"/>
          <w:w w:val="105"/>
        </w:rPr>
        <w:t> </w:t>
      </w:r>
      <w:r>
        <w:rPr>
          <w:w w:val="105"/>
        </w:rPr>
        <w:t>cycles,</w:t>
      </w:r>
      <w:r>
        <w:rPr>
          <w:spacing w:val="33"/>
          <w:w w:val="105"/>
        </w:rPr>
        <w:t> </w:t>
      </w:r>
      <w:r>
        <w:rPr>
          <w:w w:val="105"/>
        </w:rPr>
        <w:t>board</w:t>
      </w:r>
      <w:r>
        <w:rPr>
          <w:spacing w:val="33"/>
          <w:w w:val="105"/>
        </w:rPr>
        <w:t> </w:t>
      </w:r>
      <w:r>
        <w:rPr>
          <w:w w:val="105"/>
        </w:rPr>
        <w:t>materials,</w:t>
      </w:r>
      <w:r>
        <w:rPr>
          <w:spacing w:val="33"/>
          <w:w w:val="105"/>
        </w:rPr>
        <w:t> </w:t>
      </w:r>
      <w:r>
        <w:rPr>
          <w:w w:val="105"/>
        </w:rPr>
        <w:t>and</w:t>
      </w:r>
      <w:r>
        <w:rPr>
          <w:spacing w:val="33"/>
          <w:w w:val="105"/>
        </w:rPr>
        <w:t> </w:t>
      </w:r>
      <w:r>
        <w:rPr>
          <w:w w:val="105"/>
        </w:rPr>
        <w:t>pricing</w:t>
      </w:r>
      <w:r>
        <w:rPr>
          <w:spacing w:val="33"/>
          <w:w w:val="105"/>
        </w:rPr>
        <w:t> </w:t>
      </w:r>
      <w:r>
        <w:rPr>
          <w:w w:val="105"/>
        </w:rPr>
        <w:t>models,</w:t>
      </w:r>
      <w:r>
        <w:rPr>
          <w:spacing w:val="33"/>
          <w:w w:val="105"/>
        </w:rPr>
        <w:t> </w:t>
      </w:r>
      <w:r>
        <w:rPr>
          <w:w w:val="105"/>
        </w:rPr>
        <w:t>and</w:t>
      </w:r>
      <w:r>
        <w:rPr>
          <w:spacing w:val="33"/>
          <w:w w:val="105"/>
        </w:rPr>
        <w:t> </w:t>
      </w:r>
      <w:r>
        <w:rPr>
          <w:w w:val="105"/>
        </w:rPr>
        <w:t>partners</w:t>
      </w:r>
      <w:r>
        <w:rPr>
          <w:spacing w:val="33"/>
          <w:w w:val="105"/>
        </w:rPr>
        <w:t> </w:t>
      </w:r>
      <w:r>
        <w:rPr>
          <w:w w:val="105"/>
        </w:rPr>
        <w:t>with</w:t>
      </w:r>
      <w:r>
        <w:rPr>
          <w:spacing w:val="33"/>
          <w:w w:val="105"/>
        </w:rPr>
        <w:t> </w:t>
      </w:r>
      <w:r>
        <w:rPr>
          <w:w w:val="105"/>
        </w:rPr>
        <w:t>sales</w:t>
      </w:r>
      <w:r>
        <w:rPr>
          <w:spacing w:val="33"/>
          <w:w w:val="105"/>
        </w:rPr>
        <w:t> </w:t>
      </w:r>
      <w:r>
        <w:rPr>
          <w:w w:val="105"/>
        </w:rPr>
        <w:t>and</w:t>
      </w:r>
      <w:r>
        <w:rPr>
          <w:spacing w:val="33"/>
          <w:w w:val="105"/>
        </w:rPr>
        <w:t> </w:t>
      </w:r>
      <w:r>
        <w:rPr>
          <w:w w:val="105"/>
        </w:rPr>
        <w:t>product</w:t>
      </w:r>
      <w:r>
        <w:rPr>
          <w:spacing w:val="33"/>
          <w:w w:val="105"/>
        </w:rPr>
        <w:t> </w:t>
      </w:r>
      <w:r>
        <w:rPr>
          <w:w w:val="105"/>
        </w:rPr>
        <w:t>leads on</w:t>
      </w:r>
      <w:r>
        <w:rPr>
          <w:spacing w:val="40"/>
          <w:w w:val="105"/>
        </w:rPr>
        <w:t> </w:t>
      </w:r>
      <w:r>
        <w:rPr>
          <w:w w:val="105"/>
        </w:rPr>
        <w:t>unit</w:t>
      </w:r>
      <w:r>
        <w:rPr>
          <w:spacing w:val="40"/>
          <w:w w:val="105"/>
        </w:rPr>
        <w:t> </w:t>
      </w:r>
      <w:r>
        <w:rPr>
          <w:w w:val="105"/>
        </w:rPr>
        <w:t>economics.</w:t>
      </w:r>
      <w:r>
        <w:rPr>
          <w:spacing w:val="40"/>
          <w:w w:val="105"/>
        </w:rPr>
        <w:t> </w:t>
      </w:r>
      <w:r>
        <w:rPr>
          <w:w w:val="105"/>
        </w:rPr>
        <w:t>Comfortable</w:t>
      </w:r>
      <w:r>
        <w:rPr>
          <w:spacing w:val="40"/>
          <w:w w:val="105"/>
        </w:rPr>
        <w:t> </w:t>
      </w:r>
      <w:r>
        <w:rPr>
          <w:w w:val="105"/>
        </w:rPr>
        <w:t>rebuilding</w:t>
      </w:r>
      <w:r>
        <w:rPr>
          <w:spacing w:val="40"/>
          <w:w w:val="105"/>
        </w:rPr>
        <w:t> </w:t>
      </w:r>
      <w:r>
        <w:rPr>
          <w:w w:val="105"/>
        </w:rPr>
        <w:t>messy</w:t>
      </w:r>
      <w:r>
        <w:rPr>
          <w:spacing w:val="40"/>
          <w:w w:val="105"/>
        </w:rPr>
        <w:t> </w:t>
      </w:r>
      <w:r>
        <w:rPr>
          <w:w w:val="105"/>
        </w:rPr>
        <w:t>spreadsheet</w:t>
      </w:r>
      <w:r>
        <w:rPr>
          <w:spacing w:val="40"/>
          <w:w w:val="105"/>
        </w:rPr>
        <w:t> </w:t>
      </w:r>
      <w:r>
        <w:rPr>
          <w:w w:val="105"/>
        </w:rPr>
        <w:t>tools</w:t>
      </w:r>
      <w:r>
        <w:rPr>
          <w:spacing w:val="40"/>
          <w:w w:val="105"/>
        </w:rPr>
        <w:t> </w:t>
      </w:r>
      <w:r>
        <w:rPr>
          <w:w w:val="105"/>
        </w:rPr>
        <w:t>into</w:t>
      </w:r>
      <w:r>
        <w:rPr>
          <w:spacing w:val="40"/>
          <w:w w:val="105"/>
        </w:rPr>
        <w:t> </w:t>
      </w:r>
      <w:r>
        <w:rPr>
          <w:w w:val="105"/>
        </w:rPr>
        <w:t>models</w:t>
      </w:r>
      <w:r>
        <w:rPr>
          <w:spacing w:val="40"/>
          <w:w w:val="105"/>
        </w:rPr>
        <w:t> </w:t>
      </w:r>
      <w:r>
        <w:rPr>
          <w:w w:val="105"/>
        </w:rPr>
        <w:t>the CFO actually trusts.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ind w:left="10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2933699</wp:posOffset>
                </wp:positionH>
                <wp:positionV relativeFrom="paragraph">
                  <wp:posOffset>-403691</wp:posOffset>
                </wp:positionV>
                <wp:extent cx="4634865" cy="281940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4634865" cy="281940"/>
                          <a:chExt cx="4634865" cy="2819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5447"/>
                            <a:ext cx="463486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4865" h="276225">
                                <a:moveTo>
                                  <a:pt x="4634483" y="276224"/>
                                </a:moveTo>
                                <a:lnTo>
                                  <a:pt x="0" y="276224"/>
                                </a:lnTo>
                                <a:lnTo>
                                  <a:pt x="0" y="0"/>
                                </a:lnTo>
                                <a:lnTo>
                                  <a:pt x="4634483" y="0"/>
                                </a:lnTo>
                                <a:lnTo>
                                  <a:pt x="4634483" y="276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53" y="0"/>
                            <a:ext cx="1689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272415">
                                <a:moveTo>
                                  <a:pt x="0" y="0"/>
                                </a:moveTo>
                                <a:lnTo>
                                  <a:pt x="168401" y="0"/>
                                </a:lnTo>
                                <a:lnTo>
                                  <a:pt x="76279" y="147782"/>
                                </a:lnTo>
                                <a:lnTo>
                                  <a:pt x="0" y="2724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295774" y="13225"/>
                            <a:ext cx="339090" cy="2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090" h="264795">
                                <a:moveTo>
                                  <a:pt x="338708" y="264577"/>
                                </a:moveTo>
                                <a:lnTo>
                                  <a:pt x="0" y="264577"/>
                                </a:lnTo>
                                <a:lnTo>
                                  <a:pt x="183457" y="122478"/>
                                </a:lnTo>
                                <a:lnTo>
                                  <a:pt x="338708" y="0"/>
                                </a:lnTo>
                                <a:lnTo>
                                  <a:pt x="338708" y="2645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5E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5447"/>
                            <a:ext cx="4634865" cy="276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6"/>
                                <w:ind w:left="0" w:right="516" w:firstLine="0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28"/>
                                  <w:sz w:val="26"/>
                                </w:rPr>
                                <w:t>PROFESSIONAL</w:t>
                              </w:r>
                              <w:r>
                                <w:rPr>
                                  <w:b/>
                                  <w:color w:val="FFFFFF"/>
                                  <w:spacing w:val="61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sz w:val="26"/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0.999969pt;margin-top:-31.786734pt;width:364.95pt;height:22.2pt;mso-position-horizontal-relative:page;mso-position-vertical-relative:paragraph;z-index:15729664" id="docshapegroup6" coordorigin="4620,-636" coordsize="7299,444">
                <v:rect style="position:absolute;left:4620;top:-628;width:7299;height:435" id="docshape7" filled="true" fillcolor="#424242" stroked="false">
                  <v:fill type="solid"/>
                </v:rect>
                <v:shape style="position:absolute;left:4620;top:-636;width:266;height:429" id="docshape8" coordorigin="4620,-636" coordsize="266,429" path="m4620,-636l4886,-636,4741,-403,4620,-207,4620,-636xe" filled="true" fillcolor="#ffffff" stroked="false">
                  <v:path arrowok="t"/>
                  <v:fill type="solid"/>
                </v:shape>
                <v:shape style="position:absolute;left:11385;top:-615;width:534;height:417" id="docshape9" coordorigin="11385,-615" coordsize="534,417" path="m11918,-198l11385,-198,11674,-422,11918,-615,11918,-198xe" filled="true" fillcolor="#b15e05" stroked="false">
                  <v:path arrowok="t"/>
                  <v:fill type="solid"/>
                </v:shape>
                <v:shape style="position:absolute;left:4620;top:-628;width:7299;height:435" type="#_x0000_t202" id="docshape10" filled="false" stroked="false">
                  <v:textbox inset="0,0,0,0">
                    <w:txbxContent>
                      <w:p>
                        <w:pPr>
                          <w:spacing w:before="56"/>
                          <w:ind w:left="0" w:right="516" w:firstLine="0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pacing w:val="28"/>
                            <w:sz w:val="26"/>
                          </w:rPr>
                          <w:t>PROFESSIONAL</w:t>
                        </w:r>
                        <w:r>
                          <w:rPr>
                            <w:b/>
                            <w:color w:val="FFFFFF"/>
                            <w:spacing w:val="61"/>
                            <w:sz w:val="2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25"/>
                            <w:sz w:val="26"/>
                          </w:rPr>
                          <w:t>EXPERIENCE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</w:rPr>
        <w:t>Finance</w:t>
      </w:r>
      <w:r>
        <w:rPr>
          <w:spacing w:val="16"/>
          <w:w w:val="105"/>
        </w:rPr>
        <w:t> </w:t>
      </w:r>
      <w:r>
        <w:rPr>
          <w:w w:val="105"/>
        </w:rPr>
        <w:t>Manager,</w:t>
      </w:r>
      <w:r>
        <w:rPr>
          <w:spacing w:val="16"/>
          <w:w w:val="105"/>
        </w:rPr>
        <w:t> </w:t>
      </w:r>
      <w:r>
        <w:rPr>
          <w:w w:val="105"/>
        </w:rPr>
        <w:t>FP&amp;A</w:t>
      </w:r>
      <w:r>
        <w:rPr>
          <w:spacing w:val="24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23"/>
          <w:w w:val="105"/>
          <w:position w:val="2"/>
        </w:rPr>
        <w:t> </w:t>
      </w:r>
      <w:r>
        <w:rPr>
          <w:w w:val="105"/>
        </w:rPr>
        <w:t>Brightline</w:t>
      </w:r>
      <w:r>
        <w:rPr>
          <w:spacing w:val="17"/>
          <w:w w:val="105"/>
        </w:rPr>
        <w:t> </w:t>
      </w:r>
      <w:r>
        <w:rPr>
          <w:w w:val="105"/>
        </w:rPr>
        <w:t>Health</w:t>
      </w:r>
      <w:r>
        <w:rPr>
          <w:spacing w:val="16"/>
          <w:w w:val="105"/>
        </w:rPr>
        <w:t> </w:t>
      </w:r>
      <w:r>
        <w:rPr>
          <w:w w:val="105"/>
        </w:rPr>
        <w:t>Partners,</w:t>
      </w:r>
      <w:r>
        <w:rPr>
          <w:spacing w:val="16"/>
          <w:w w:val="105"/>
        </w:rPr>
        <w:t> </w:t>
      </w:r>
      <w:r>
        <w:rPr>
          <w:w w:val="105"/>
        </w:rPr>
        <w:t>Raleigh,</w:t>
      </w:r>
      <w:r>
        <w:rPr>
          <w:spacing w:val="17"/>
          <w:w w:val="105"/>
        </w:rPr>
        <w:t> </w:t>
      </w:r>
      <w:r>
        <w:rPr>
          <w:spacing w:val="-5"/>
          <w:w w:val="105"/>
        </w:rPr>
        <w:t>NC</w:t>
      </w:r>
    </w:p>
    <w:p>
      <w:pPr>
        <w:pStyle w:val="BodyText"/>
        <w:spacing w:before="38"/>
        <w:ind w:left="107"/>
      </w:pPr>
      <w:r>
        <w:rPr/>
        <w:t>2021</w:t>
      </w:r>
      <w:r>
        <w:rPr>
          <w:spacing w:val="17"/>
        </w:rPr>
        <w:t> </w:t>
      </w:r>
      <w:r>
        <w:rPr/>
        <w:t>–</w:t>
      </w:r>
      <w:r>
        <w:rPr>
          <w:spacing w:val="18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0" w:bottom="0" w:left="283" w:right="0"/>
          <w:cols w:num="2" w:equalWidth="0">
            <w:col w:w="2411" w:space="1904"/>
            <w:col w:w="7322"/>
          </w:cols>
        </w:sectPr>
      </w:pPr>
    </w:p>
    <w:p>
      <w:pPr>
        <w:pStyle w:val="BodyText"/>
        <w:spacing w:before="110"/>
        <w:rPr>
          <w:sz w:val="18"/>
        </w:rPr>
      </w:pPr>
    </w:p>
    <w:p>
      <w:pPr>
        <w:spacing w:line="590" w:lineRule="auto" w:before="1"/>
        <w:ind w:left="869" w:right="0" w:firstLine="0"/>
        <w:jc w:val="left"/>
        <w:rPr>
          <w:sz w:val="18"/>
        </w:rPr>
      </w:pPr>
      <w:hyperlink r:id="rId5">
        <w:r>
          <w:rPr>
            <w:color w:val="FFFFFF"/>
            <w:spacing w:val="-2"/>
            <w:sz w:val="18"/>
          </w:rPr>
          <w:t>marisol.vega@example.com</w:t>
        </w:r>
      </w:hyperlink>
      <w:r>
        <w:rPr>
          <w:color w:val="FFFFFF"/>
          <w:spacing w:val="-2"/>
          <w:sz w:val="18"/>
        </w:rPr>
        <w:t> </w:t>
      </w:r>
      <w:r>
        <w:rPr>
          <w:color w:val="FFFFFF"/>
          <w:w w:val="105"/>
          <w:sz w:val="18"/>
        </w:rPr>
        <w:t>Raleigh, NC 12345</w:t>
      </w:r>
    </w:p>
    <w:p>
      <w:pPr>
        <w:pStyle w:val="Heading1"/>
        <w:spacing w:before="73"/>
      </w:pPr>
      <w:r>
        <w:rPr>
          <w:color w:val="FFFFFF"/>
          <w:spacing w:val="23"/>
        </w:rPr>
        <w:t>EDUCATION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16" w:lineRule="auto" w:before="173" w:after="0"/>
        <w:ind w:left="720" w:right="61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B.S. Finance, University of North Carolina at Chapel Hill, 2017</w:t>
      </w:r>
    </w:p>
    <w:p>
      <w:pPr>
        <w:pStyle w:val="BodyText"/>
        <w:spacing w:before="81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16" w:lineRule="auto" w:before="0" w:after="0"/>
        <w:ind w:left="720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CPA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w w:val="105"/>
          <w:sz w:val="18"/>
        </w:rPr>
        <w:t>Candidate,</w:t>
      </w:r>
      <w:r>
        <w:rPr>
          <w:color w:val="FFFFFF"/>
          <w:spacing w:val="-1"/>
          <w:w w:val="105"/>
          <w:sz w:val="18"/>
        </w:rPr>
        <w:t> </w:t>
      </w:r>
      <w:r>
        <w:rPr>
          <w:color w:val="FFFFFF"/>
          <w:w w:val="105"/>
          <w:sz w:val="18"/>
        </w:rPr>
        <w:t>passed</w:t>
      </w:r>
      <w:r>
        <w:rPr>
          <w:color w:val="FFFFFF"/>
          <w:spacing w:val="-1"/>
          <w:w w:val="105"/>
          <w:sz w:val="18"/>
        </w:rPr>
        <w:t> </w:t>
      </w:r>
      <w:r>
        <w:rPr>
          <w:color w:val="FFFFFF"/>
          <w:w w:val="105"/>
          <w:sz w:val="18"/>
        </w:rPr>
        <w:t>FAR</w:t>
      </w:r>
      <w:r>
        <w:rPr>
          <w:color w:val="FFFFFF"/>
          <w:spacing w:val="-1"/>
          <w:w w:val="105"/>
          <w:sz w:val="18"/>
        </w:rPr>
        <w:t> </w:t>
      </w:r>
      <w:r>
        <w:rPr>
          <w:color w:val="FFFFFF"/>
          <w:w w:val="105"/>
          <w:sz w:val="18"/>
        </w:rPr>
        <w:t>and AUD (2024)</w:t>
      </w:r>
    </w:p>
    <w:p>
      <w:pPr>
        <w:pStyle w:val="BodyText"/>
        <w:spacing w:before="155"/>
        <w:rPr>
          <w:sz w:val="18"/>
        </w:rPr>
      </w:pPr>
    </w:p>
    <w:p>
      <w:pPr>
        <w:pStyle w:val="Heading1"/>
      </w:pPr>
      <w:r>
        <w:rPr>
          <w:color w:val="FFFFFF"/>
          <w:spacing w:val="20"/>
        </w:rPr>
        <w:t>KEY</w:t>
      </w:r>
      <w:r>
        <w:rPr>
          <w:color w:val="FFFFFF"/>
          <w:spacing w:val="53"/>
        </w:rPr>
        <w:t> </w:t>
      </w:r>
      <w:r>
        <w:rPr>
          <w:color w:val="FFFFFF"/>
          <w:spacing w:val="23"/>
        </w:rPr>
        <w:t>SKILLS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351" w:lineRule="exact" w:before="15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3-statement</w:t>
      </w:r>
      <w:r>
        <w:rPr>
          <w:color w:val="FFFFFF"/>
          <w:spacing w:val="17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modeling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345" w:lineRule="exact" w:before="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Adaptive</w:t>
      </w:r>
      <w:r>
        <w:rPr>
          <w:color w:val="FFFFFF"/>
          <w:spacing w:val="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Planning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345" w:lineRule="exact" w:before="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spacing w:val="-2"/>
          <w:w w:val="105"/>
          <w:sz w:val="18"/>
        </w:rPr>
        <w:t>NetSuite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86" w:lineRule="exact" w:before="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SQL</w:t>
      </w:r>
      <w:r>
        <w:rPr>
          <w:color w:val="FFFFFF"/>
          <w:spacing w:val="-2"/>
          <w:w w:val="105"/>
          <w:sz w:val="18"/>
        </w:rPr>
        <w:t> (intermediate)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  <w:tab w:pos="832" w:val="left" w:leader="none"/>
        </w:tabs>
        <w:spacing w:line="196" w:lineRule="auto" w:before="102" w:after="0"/>
        <w:ind w:left="832" w:right="487" w:hanging="298"/>
        <w:jc w:val="left"/>
        <w:rPr>
          <w:sz w:val="16"/>
        </w:rPr>
      </w:pPr>
      <w:r>
        <w:rPr/>
        <w:br w:type="column"/>
      </w:r>
      <w:r>
        <w:rPr>
          <w:w w:val="105"/>
          <w:sz w:val="16"/>
        </w:rPr>
        <w:t>Own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monthly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close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partnership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accounting,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cutting</w:t>
      </w:r>
      <w:r>
        <w:rPr>
          <w:spacing w:val="39"/>
          <w:w w:val="105"/>
          <w:sz w:val="16"/>
        </w:rPr>
        <w:t> </w:t>
      </w:r>
      <w:r>
        <w:rPr>
          <w:w w:val="105"/>
          <w:sz w:val="16"/>
        </w:rPr>
        <w:t>variance-explain turnaround from 9 days to 3.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  <w:tab w:pos="832" w:val="left" w:leader="none"/>
        </w:tabs>
        <w:spacing w:line="196" w:lineRule="auto" w:before="97" w:after="0"/>
        <w:ind w:left="832" w:right="209" w:hanging="298"/>
        <w:jc w:val="left"/>
        <w:rPr>
          <w:sz w:val="16"/>
        </w:rPr>
      </w:pPr>
      <w:r>
        <w:rPr>
          <w:w w:val="105"/>
          <w:sz w:val="16"/>
        </w:rPr>
        <w:t>Built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driver-based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revenue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model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covering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14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service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lines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that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flagged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$2.3M in mispriced contracts up for renewal.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  <w:tab w:pos="832" w:val="left" w:leader="none"/>
        </w:tabs>
        <w:spacing w:line="196" w:lineRule="auto" w:before="112" w:after="0"/>
        <w:ind w:left="832" w:right="234" w:hanging="298"/>
        <w:jc w:val="left"/>
        <w:rPr>
          <w:sz w:val="16"/>
        </w:rPr>
      </w:pPr>
      <w:r>
        <w:rPr>
          <w:w w:val="105"/>
          <w:sz w:val="16"/>
        </w:rPr>
        <w:t>Lead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quarterly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board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prep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CFO,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including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3-statement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forecast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and bridge to plan.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  <w:tab w:pos="832" w:val="left" w:leader="none"/>
        </w:tabs>
        <w:spacing w:line="208" w:lineRule="auto" w:before="85" w:after="0"/>
        <w:ind w:left="832" w:right="260" w:hanging="298"/>
        <w:jc w:val="left"/>
        <w:rPr>
          <w:sz w:val="16"/>
        </w:rPr>
      </w:pPr>
      <w:r>
        <w:rPr>
          <w:w w:val="105"/>
          <w:sz w:val="16"/>
        </w:rPr>
        <w:t>Manage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two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senior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analysts;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rebuilt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headcount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planning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process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so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HR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and finance share a single roster of truth.</w:t>
      </w:r>
    </w:p>
    <w:p>
      <w:pPr>
        <w:pStyle w:val="BodyText"/>
        <w:spacing w:before="89"/>
      </w:pPr>
    </w:p>
    <w:p>
      <w:pPr>
        <w:pStyle w:val="BodyText"/>
        <w:spacing w:before="1"/>
        <w:ind w:left="107"/>
      </w:pPr>
      <w:r>
        <w:rPr>
          <w:w w:val="105"/>
        </w:rPr>
        <w:t>Senior</w:t>
      </w:r>
      <w:r>
        <w:rPr>
          <w:spacing w:val="17"/>
          <w:w w:val="105"/>
        </w:rPr>
        <w:t> </w:t>
      </w:r>
      <w:r>
        <w:rPr>
          <w:w w:val="105"/>
        </w:rPr>
        <w:t>Financial</w:t>
      </w:r>
      <w:r>
        <w:rPr>
          <w:spacing w:val="7"/>
          <w:w w:val="105"/>
        </w:rPr>
        <w:t> </w:t>
      </w:r>
      <w:r>
        <w:rPr>
          <w:w w:val="105"/>
        </w:rPr>
        <w:t>Analyst</w:t>
      </w:r>
      <w:r>
        <w:rPr>
          <w:spacing w:val="25"/>
          <w:w w:val="105"/>
        </w:rPr>
        <w:t> </w:t>
      </w:r>
      <w:r>
        <w:rPr>
          <w:w w:val="105"/>
        </w:rPr>
        <w:t>|</w:t>
      </w:r>
      <w:r>
        <w:rPr>
          <w:spacing w:val="25"/>
          <w:w w:val="105"/>
        </w:rPr>
        <w:t> </w:t>
      </w:r>
      <w:r>
        <w:rPr>
          <w:w w:val="105"/>
        </w:rPr>
        <w:t>Northwind</w:t>
      </w:r>
      <w:r>
        <w:rPr>
          <w:spacing w:val="18"/>
          <w:w w:val="105"/>
        </w:rPr>
        <w:t> </w:t>
      </w:r>
      <w:r>
        <w:rPr>
          <w:w w:val="105"/>
        </w:rPr>
        <w:t>Cloud</w:t>
      </w:r>
      <w:r>
        <w:rPr>
          <w:spacing w:val="18"/>
          <w:w w:val="105"/>
        </w:rPr>
        <w:t> </w:t>
      </w:r>
      <w:r>
        <w:rPr>
          <w:w w:val="105"/>
        </w:rPr>
        <w:t>Systems,</w:t>
      </w:r>
      <w:r>
        <w:rPr>
          <w:spacing w:val="17"/>
          <w:w w:val="105"/>
        </w:rPr>
        <w:t> </w:t>
      </w:r>
      <w:r>
        <w:rPr>
          <w:w w:val="105"/>
        </w:rPr>
        <w:t>Raleigh,</w:t>
      </w:r>
      <w:r>
        <w:rPr>
          <w:spacing w:val="18"/>
          <w:w w:val="105"/>
        </w:rPr>
        <w:t> </w:t>
      </w:r>
      <w:r>
        <w:rPr>
          <w:spacing w:val="-5"/>
          <w:w w:val="105"/>
        </w:rPr>
        <w:t>NC</w:t>
      </w:r>
    </w:p>
    <w:p>
      <w:pPr>
        <w:pStyle w:val="BodyText"/>
        <w:spacing w:before="53"/>
        <w:ind w:left="107"/>
      </w:pPr>
      <w:r>
        <w:rPr/>
        <w:t>2018</w:t>
      </w:r>
      <w:r>
        <w:rPr>
          <w:spacing w:val="17"/>
        </w:rPr>
        <w:t> </w:t>
      </w:r>
      <w:r>
        <w:rPr/>
        <w:t>–</w:t>
      </w:r>
      <w:r>
        <w:rPr>
          <w:spacing w:val="18"/>
        </w:rPr>
        <w:t> </w:t>
      </w:r>
      <w:r>
        <w:rPr>
          <w:spacing w:val="-4"/>
        </w:rPr>
        <w:t>2021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  <w:tab w:pos="832" w:val="left" w:leader="none"/>
        </w:tabs>
        <w:spacing w:line="196" w:lineRule="auto" w:before="92" w:after="0"/>
        <w:ind w:left="832" w:right="256" w:hanging="298"/>
        <w:jc w:val="left"/>
        <w:rPr>
          <w:sz w:val="16"/>
        </w:rPr>
      </w:pPr>
      <w:r>
        <w:rPr>
          <w:w w:val="105"/>
          <w:sz w:val="16"/>
        </w:rPr>
        <w:t>Partnered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VP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Sales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quota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setting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ramp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assumptions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60-rep org.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  <w:tab w:pos="832" w:val="left" w:leader="none"/>
        </w:tabs>
        <w:spacing w:line="196" w:lineRule="auto" w:before="111" w:after="0"/>
        <w:ind w:left="832" w:right="407" w:hanging="298"/>
        <w:jc w:val="left"/>
        <w:rPr>
          <w:sz w:val="16"/>
        </w:rPr>
      </w:pPr>
      <w:r>
        <w:rPr>
          <w:w w:val="105"/>
          <w:sz w:val="16"/>
        </w:rPr>
        <w:t>Reworked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CAC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payback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model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surfaced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customer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segment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paying back in roughly 8 months vs. a 22-month assumption.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  <w:tab w:pos="832" w:val="left" w:leader="none"/>
        </w:tabs>
        <w:spacing w:line="196" w:lineRule="auto" w:before="97" w:after="0"/>
        <w:ind w:left="832" w:right="442" w:hanging="298"/>
        <w:jc w:val="left"/>
        <w:rPr>
          <w:sz w:val="16"/>
        </w:rPr>
      </w:pPr>
      <w:r>
        <w:rPr>
          <w:w w:val="105"/>
          <w:sz w:val="16"/>
        </w:rPr>
        <w:t>Stood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up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recurring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cohort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retention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report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Looker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that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replaced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manual deck the team had run for years.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  <w:tab w:pos="832" w:val="left" w:leader="none"/>
        </w:tabs>
        <w:spacing w:line="196" w:lineRule="auto" w:before="112" w:after="0"/>
        <w:ind w:left="832" w:right="715" w:hanging="298"/>
        <w:jc w:val="left"/>
        <w:rPr>
          <w:sz w:val="16"/>
        </w:rPr>
      </w:pPr>
      <w:r>
        <w:rPr>
          <w:w w:val="105"/>
          <w:sz w:val="16"/>
        </w:rPr>
        <w:t>Owned monthly commission calculations for sales and CS, with no payout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disputes during my tenure.</w:t>
      </w:r>
    </w:p>
    <w:p>
      <w:pPr>
        <w:pStyle w:val="ListParagraph"/>
        <w:spacing w:after="0" w:line="196" w:lineRule="auto"/>
        <w:jc w:val="left"/>
        <w:rPr>
          <w:sz w:val="16"/>
        </w:rPr>
        <w:sectPr>
          <w:type w:val="continuous"/>
          <w:pgSz w:w="11920" w:h="16860"/>
          <w:pgMar w:top="0" w:bottom="0" w:left="283" w:right="0"/>
          <w:cols w:num="2" w:equalWidth="0">
            <w:col w:w="3600" w:space="715"/>
            <w:col w:w="7322"/>
          </w:cols>
        </w:sectPr>
      </w:pP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345" w:lineRule="exact" w:before="53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Looker,</w:t>
      </w:r>
      <w:r>
        <w:rPr>
          <w:color w:val="FFFFFF"/>
          <w:spacing w:val="-2"/>
          <w:w w:val="105"/>
          <w:sz w:val="18"/>
        </w:rPr>
        <w:t> Tableau</w:t>
      </w:r>
    </w:p>
    <w:p>
      <w:pPr>
        <w:pStyle w:val="BodyText"/>
        <w:spacing w:line="181" w:lineRule="exact"/>
        <w:ind w:left="423"/>
      </w:pPr>
      <w:r>
        <w:rPr/>
        <w:br w:type="column"/>
      </w:r>
      <w:r>
        <w:rPr>
          <w:w w:val="105"/>
        </w:rPr>
        <w:t>Financial</w:t>
      </w:r>
      <w:r>
        <w:rPr>
          <w:spacing w:val="6"/>
          <w:w w:val="105"/>
        </w:rPr>
        <w:t> </w:t>
      </w:r>
      <w:r>
        <w:rPr>
          <w:w w:val="105"/>
        </w:rPr>
        <w:t>Analyst</w:t>
      </w:r>
      <w:r>
        <w:rPr>
          <w:spacing w:val="26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25"/>
          <w:w w:val="105"/>
          <w:position w:val="2"/>
        </w:rPr>
        <w:t> </w:t>
      </w:r>
      <w:r>
        <w:rPr>
          <w:w w:val="105"/>
        </w:rPr>
        <w:t>Northwind</w:t>
      </w:r>
      <w:r>
        <w:rPr>
          <w:spacing w:val="17"/>
          <w:w w:val="105"/>
        </w:rPr>
        <w:t> </w:t>
      </w:r>
      <w:r>
        <w:rPr>
          <w:w w:val="105"/>
        </w:rPr>
        <w:t>Cloud</w:t>
      </w:r>
      <w:r>
        <w:rPr>
          <w:spacing w:val="18"/>
          <w:w w:val="105"/>
        </w:rPr>
        <w:t> </w:t>
      </w:r>
      <w:r>
        <w:rPr>
          <w:w w:val="105"/>
        </w:rPr>
        <w:t>Systems,</w:t>
      </w:r>
      <w:r>
        <w:rPr>
          <w:spacing w:val="18"/>
          <w:w w:val="105"/>
        </w:rPr>
        <w:t> </w:t>
      </w:r>
      <w:r>
        <w:rPr>
          <w:w w:val="105"/>
        </w:rPr>
        <w:t>Raleigh,</w:t>
      </w:r>
      <w:r>
        <w:rPr>
          <w:spacing w:val="18"/>
          <w:w w:val="105"/>
        </w:rPr>
        <w:t> </w:t>
      </w:r>
      <w:r>
        <w:rPr>
          <w:spacing w:val="-5"/>
          <w:w w:val="105"/>
        </w:rPr>
        <w:t>NC</w:t>
      </w:r>
    </w:p>
    <w:p>
      <w:pPr>
        <w:pStyle w:val="BodyText"/>
        <w:spacing w:line="179" w:lineRule="exact" w:before="38"/>
        <w:ind w:left="423"/>
      </w:pPr>
      <w:r>
        <w:rPr/>
        <w:t>2017</w:t>
      </w:r>
      <w:r>
        <w:rPr>
          <w:spacing w:val="17"/>
        </w:rPr>
        <w:t> </w:t>
      </w:r>
      <w:r>
        <w:rPr/>
        <w:t>–</w:t>
      </w:r>
      <w:r>
        <w:rPr>
          <w:spacing w:val="18"/>
        </w:rPr>
        <w:t> </w:t>
      </w:r>
      <w:r>
        <w:rPr>
          <w:spacing w:val="-4"/>
        </w:rPr>
        <w:t>2018</w:t>
      </w:r>
    </w:p>
    <w:p>
      <w:pPr>
        <w:pStyle w:val="BodyText"/>
        <w:spacing w:after="0" w:line="179" w:lineRule="exact"/>
        <w:sectPr>
          <w:type w:val="continuous"/>
          <w:pgSz w:w="11920" w:h="16860"/>
          <w:pgMar w:top="0" w:bottom="0" w:left="283" w:right="0"/>
          <w:cols w:num="2" w:equalWidth="0">
            <w:col w:w="2123" w:space="1876"/>
            <w:col w:w="7638"/>
          </w:cols>
        </w:sectPr>
      </w:pP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351" w:lineRule="exact" w:before="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294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24150" cy="10706100"/>
                <wp:effectExtent l="0" t="0" r="0" b="0"/>
                <wp:wrapNone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2724150" cy="10706100"/>
                          <a:chExt cx="2724150" cy="1070610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272415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4150" h="10706100">
                                <a:moveTo>
                                  <a:pt x="2724149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724149" y="0"/>
                                </a:lnTo>
                                <a:lnTo>
                                  <a:pt x="2724149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7677" y="3219449"/>
                            <a:ext cx="177103" cy="1770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9368" y="3552824"/>
                            <a:ext cx="153719" cy="1714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243" y="3876675"/>
                            <a:ext cx="175968" cy="1771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899" y="333374"/>
                            <a:ext cx="2038349" cy="20383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14.5pt;height:843pt;mso-position-horizontal-relative:page;mso-position-vertical-relative:page;z-index:-15787008" id="docshapegroup11" coordorigin="0,0" coordsize="4290,16860">
                <v:rect style="position:absolute;left:0;top:0;width:4290;height:16860" id="docshape12" filled="true" fillcolor="#424242" stroked="false">
                  <v:fill type="solid"/>
                </v:rect>
                <v:shape style="position:absolute;left:705;top:5070;width:279;height:279" type="#_x0000_t75" id="docshape13" stroked="false">
                  <v:imagedata r:id="rId6" o:title=""/>
                </v:shape>
                <v:shape style="position:absolute;left:723;top:5595;width:243;height:270" type="#_x0000_t75" id="docshape14" stroked="false">
                  <v:imagedata r:id="rId7" o:title=""/>
                </v:shape>
                <v:shape style="position:absolute;left:705;top:6105;width:278;height:279" type="#_x0000_t75" id="docshape15" stroked="false">
                  <v:imagedata r:id="rId8" o:title=""/>
                </v:shape>
                <v:shape style="position:absolute;left:540;top:525;width:3210;height:3210" type="#_x0000_t75" id="docshape16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color w:val="FFFFFF"/>
          <w:w w:val="105"/>
          <w:sz w:val="18"/>
        </w:rPr>
        <w:t>Board</w:t>
      </w:r>
      <w:r>
        <w:rPr>
          <w:color w:val="FFFFFF"/>
          <w:spacing w:val="7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reporting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345" w:lineRule="exact" w:before="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Headcount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w w:val="105"/>
          <w:sz w:val="18"/>
        </w:rPr>
        <w:t>OpEx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planning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343" w:lineRule="exact" w:before="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Pricing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w w:val="105"/>
          <w:sz w:val="18"/>
        </w:rPr>
        <w:t>unit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economics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348" w:lineRule="exact" w:before="0" w:after="0"/>
        <w:ind w:left="719" w:right="0" w:hanging="296"/>
        <w:jc w:val="left"/>
        <w:rPr>
          <w:color w:val="FFFFFF"/>
          <w:position w:val="-2"/>
          <w:sz w:val="31"/>
        </w:rPr>
      </w:pPr>
      <w:r>
        <w:rPr>
          <w:color w:val="FFFFFF"/>
          <w:w w:val="105"/>
          <w:sz w:val="18"/>
        </w:rPr>
        <w:t>SaaS</w:t>
      </w:r>
      <w:r>
        <w:rPr>
          <w:color w:val="FFFFFF"/>
          <w:spacing w:val="5"/>
          <w:w w:val="105"/>
          <w:sz w:val="18"/>
        </w:rPr>
        <w:t> </w:t>
      </w:r>
      <w:r>
        <w:rPr>
          <w:color w:val="FFFFFF"/>
          <w:w w:val="105"/>
          <w:sz w:val="18"/>
        </w:rPr>
        <w:t>metrics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w w:val="105"/>
          <w:sz w:val="18"/>
        </w:rPr>
        <w:t>(ARR,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w w:val="105"/>
          <w:sz w:val="18"/>
        </w:rPr>
        <w:t>NRR,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spacing w:val="-4"/>
          <w:w w:val="105"/>
          <w:sz w:val="18"/>
        </w:rPr>
        <w:t>CAC)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9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Excel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w w:val="105"/>
          <w:sz w:val="18"/>
        </w:rPr>
        <w:t>power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spacing w:val="-4"/>
          <w:w w:val="105"/>
          <w:sz w:val="18"/>
        </w:rPr>
        <w:t>user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04" w:lineRule="auto" w:before="96" w:after="0"/>
        <w:ind w:left="720" w:right="507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6"/>
        </w:rPr>
        <w:t>Supported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annual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budget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$48M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ARR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business;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consolidated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inputs from 11 department leads.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336" w:lineRule="exact" w:before="55" w:after="0"/>
        <w:ind w:left="719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Built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first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usable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departmental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spend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dashboards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6"/>
          <w:w w:val="105"/>
          <w:sz w:val="16"/>
        </w:rPr>
        <w:t> </w:t>
      </w:r>
      <w:r>
        <w:rPr>
          <w:spacing w:val="-2"/>
          <w:w w:val="105"/>
          <w:sz w:val="16"/>
        </w:rPr>
        <w:t>Tableau.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336" w:lineRule="exact" w:before="0" w:after="0"/>
        <w:ind w:left="719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Reconciled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deferred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revenue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waterfalls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accounting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each</w:t>
      </w:r>
      <w:r>
        <w:rPr>
          <w:spacing w:val="31"/>
          <w:w w:val="105"/>
          <w:sz w:val="16"/>
        </w:rPr>
        <w:t> </w:t>
      </w:r>
      <w:r>
        <w:rPr>
          <w:spacing w:val="-2"/>
          <w:w w:val="105"/>
          <w:sz w:val="16"/>
        </w:rPr>
        <w:t>quarter.</w:t>
      </w:r>
    </w:p>
    <w:sectPr>
      <w:type w:val="continuous"/>
      <w:pgSz w:w="11920" w:h="16860"/>
      <w:pgMar w:top="0" w:bottom="0" w:left="283" w:right="0"/>
      <w:cols w:num="2" w:equalWidth="0">
        <w:col w:w="3536" w:space="890"/>
        <w:col w:w="721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20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32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5"/>
        <w:sz w:val="31"/>
        <w:szCs w:val="3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67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94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1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48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25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197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370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7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19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risol.vega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2026-07-20T09:47:48Z</dcterms:created>
  <dcterms:modified xsi:type="dcterms:W3CDTF">2026-07-20T09:47:48Z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2026-07-20T00:00:00Z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2026-07-20T00:00:00Z</vt:filetime>
  </property>
  <property fmtid="{D5CDD505-2E9C-101B-9397-08002B2CF9AE}" pid="5" name="Producer">
    <vt:lpwstr>Skia/PDF m121</vt:lpwstr>
  </property>
</Properties>
</file>