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7D7D7D"/>
          <w:spacing w:val="12"/>
        </w:rPr>
        <w:t>Michelle</w:t>
      </w:r>
      <w:r>
        <w:rPr>
          <w:color w:val="7D7D7D"/>
          <w:spacing w:val="33"/>
        </w:rPr>
        <w:t> </w:t>
      </w:r>
      <w:r>
        <w:rPr>
          <w:color w:val="7D7D7D"/>
          <w:spacing w:val="9"/>
        </w:rPr>
        <w:t>Lewis</w:t>
      </w:r>
    </w:p>
    <w:p>
      <w:pPr>
        <w:pStyle w:val="BodyText"/>
        <w:spacing w:before="154"/>
        <w:ind w:left="3928" w:right="1014"/>
        <w:jc w:val="center"/>
      </w:pPr>
      <w:r>
        <w:rPr>
          <w:color w:val="7D7D7D"/>
          <w:w w:val="105"/>
        </w:rPr>
        <w:t>Project</w:t>
      </w:r>
      <w:r>
        <w:rPr>
          <w:color w:val="7D7D7D"/>
          <w:spacing w:val="13"/>
          <w:w w:val="105"/>
        </w:rPr>
        <w:t> </w:t>
      </w:r>
      <w:r>
        <w:rPr>
          <w:color w:val="7D7D7D"/>
          <w:spacing w:val="-2"/>
          <w:w w:val="105"/>
        </w:rPr>
        <w:t>Coordinator</w:t>
      </w:r>
    </w:p>
    <w:p>
      <w:pPr>
        <w:pStyle w:val="BodyText"/>
        <w:spacing w:before="10"/>
      </w:pPr>
    </w:p>
    <w:p>
      <w:pPr>
        <w:spacing w:line="273" w:lineRule="auto" w:before="0"/>
        <w:ind w:left="3928" w:right="1012" w:firstLine="0"/>
        <w:jc w:val="center"/>
        <w:rPr>
          <w:sz w:val="16"/>
        </w:rPr>
      </w:pPr>
      <w:r>
        <w:rPr>
          <w:color w:val="7D7D7D"/>
          <w:w w:val="105"/>
          <w:sz w:val="16"/>
        </w:rPr>
        <w:t>Senior Project Coordinator with 9 years across IT infrastructure, ERP rollouts,</w:t>
      </w:r>
      <w:r>
        <w:rPr>
          <w:color w:val="7D7D7D"/>
          <w:spacing w:val="40"/>
          <w:w w:val="105"/>
          <w:sz w:val="16"/>
        </w:rPr>
        <w:t> </w:t>
      </w:r>
      <w:r>
        <w:rPr>
          <w:color w:val="7D7D7D"/>
          <w:w w:val="105"/>
          <w:sz w:val="16"/>
        </w:rPr>
        <w:t>and PMO operations. Run portfolios up to $4.7M in annual spend and have</w:t>
      </w:r>
      <w:r>
        <w:rPr>
          <w:color w:val="7D7D7D"/>
          <w:spacing w:val="40"/>
          <w:w w:val="105"/>
          <w:sz w:val="16"/>
        </w:rPr>
        <w:t> </w:t>
      </w:r>
      <w:r>
        <w:rPr>
          <w:color w:val="7D7D7D"/>
          <w:w w:val="105"/>
          <w:sz w:val="16"/>
        </w:rPr>
        <w:t>stood up two PMOs from scratch. Bridge the gap between PMs, vendors, and</w:t>
      </w:r>
      <w:r>
        <w:rPr>
          <w:color w:val="7D7D7D"/>
          <w:spacing w:val="40"/>
          <w:w w:val="105"/>
          <w:sz w:val="16"/>
        </w:rPr>
        <w:t> </w:t>
      </w:r>
      <w:r>
        <w:rPr>
          <w:color w:val="7D7D7D"/>
          <w:w w:val="105"/>
          <w:sz w:val="16"/>
        </w:rPr>
        <w:t>finance so projects close clean.</w:t>
      </w:r>
    </w:p>
    <w:p>
      <w:pPr>
        <w:pStyle w:val="BodyText"/>
        <w:spacing w:before="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153423</wp:posOffset>
                </wp:positionV>
                <wp:extent cx="492061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7D7D7D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12.080552pt;width:387.45pt;height:21pt;mso-position-horizontal-relative:page;mso-position-vertical-relative:paragraph;z-index:-15728640;mso-wrap-distance-left:0;mso-wrap-distance-right:0" type="#_x0000_t202" id="docshape1" filled="true" fillcolor="#7d7d7d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992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spacing w:line="379" w:lineRule="auto" w:before="1"/>
        <w:ind w:left="123" w:right="893"/>
      </w:pPr>
      <w:r>
        <w:rPr>
          <w:color w:val="FFFFFF"/>
          <w:w w:val="105"/>
        </w:rPr>
        <w:t>Portfolio reporting MS Project </w:t>
      </w:r>
      <w:r>
        <w:rPr>
          <w:color w:val="FFFFFF"/>
          <w:spacing w:val="-2"/>
          <w:w w:val="105"/>
        </w:rPr>
        <w:t>Smartsheet </w:t>
      </w:r>
      <w:r>
        <w:rPr>
          <w:color w:val="FFFFFF"/>
          <w:w w:val="105"/>
        </w:rPr>
        <w:t>ServiceNow PPM </w:t>
      </w:r>
      <w:r>
        <w:rPr>
          <w:color w:val="FFFFFF"/>
          <w:spacing w:val="-4"/>
          <w:w w:val="105"/>
        </w:rPr>
        <w:t>Jira</w:t>
      </w:r>
    </w:p>
    <w:p>
      <w:pPr>
        <w:pStyle w:val="BodyText"/>
        <w:ind w:left="123"/>
      </w:pPr>
      <w:r>
        <w:rPr>
          <w:color w:val="FFFFFF"/>
          <w:spacing w:val="-2"/>
          <w:w w:val="105"/>
        </w:rPr>
        <w:t>SharePoint</w:t>
      </w:r>
    </w:p>
    <w:p>
      <w:pPr>
        <w:pStyle w:val="BodyText"/>
        <w:spacing w:line="261" w:lineRule="auto" w:before="123"/>
        <w:ind w:left="123" w:right="893"/>
      </w:pPr>
      <w:r>
        <w:rPr>
          <w:color w:val="FFFFFF"/>
          <w:w w:val="105"/>
        </w:rPr>
        <w:t>Vendor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SOW </w:t>
      </w:r>
      <w:r>
        <w:rPr>
          <w:color w:val="FFFFFF"/>
          <w:spacing w:val="-2"/>
          <w:w w:val="105"/>
        </w:rPr>
        <w:t>management</w:t>
      </w:r>
    </w:p>
    <w:p>
      <w:pPr>
        <w:pStyle w:val="BodyText"/>
        <w:spacing w:line="376" w:lineRule="auto" w:before="103"/>
        <w:ind w:left="123"/>
      </w:pPr>
      <w:r>
        <w:rPr>
          <w:color w:val="FFFFFF"/>
          <w:w w:val="105"/>
        </w:rPr>
        <w:t>Steering committee facilitation RAID and change control Mentoring junior coordinators Power BI dashboards</w:t>
      </w:r>
    </w:p>
    <w:p>
      <w:pPr>
        <w:pStyle w:val="BodyText"/>
        <w:spacing w:before="74"/>
        <w:ind w:left="123"/>
      </w:pPr>
      <w:r>
        <w:rPr/>
        <w:br w:type="column"/>
      </w:r>
      <w:r>
        <w:rPr>
          <w:w w:val="105"/>
        </w:rPr>
        <w:t>2021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8"/>
        <w:ind w:left="123"/>
      </w:pPr>
      <w:r>
        <w:rPr>
          <w:w w:val="105"/>
        </w:rPr>
        <w:t>Senior</w:t>
      </w:r>
      <w:r>
        <w:rPr>
          <w:spacing w:val="10"/>
          <w:w w:val="105"/>
        </w:rPr>
        <w:t> </w:t>
      </w:r>
      <w:r>
        <w:rPr>
          <w:w w:val="105"/>
        </w:rPr>
        <w:t>Project</w:t>
      </w:r>
      <w:r>
        <w:rPr>
          <w:spacing w:val="10"/>
          <w:w w:val="105"/>
        </w:rPr>
        <w:t> </w:t>
      </w:r>
      <w:r>
        <w:rPr>
          <w:w w:val="105"/>
        </w:rPr>
        <w:t>Coordinator,</w:t>
      </w:r>
      <w:r>
        <w:rPr>
          <w:spacing w:val="10"/>
          <w:w w:val="105"/>
        </w:rPr>
        <w:t> </w:t>
      </w:r>
      <w:r>
        <w:rPr>
          <w:w w:val="105"/>
        </w:rPr>
        <w:t>IT</w:t>
      </w:r>
      <w:r>
        <w:rPr>
          <w:spacing w:val="5"/>
          <w:w w:val="105"/>
        </w:rPr>
        <w:t> </w:t>
      </w:r>
      <w:r>
        <w:rPr>
          <w:w w:val="105"/>
        </w:rPr>
        <w:t>PMO</w:t>
      </w:r>
      <w:r>
        <w:rPr>
          <w:spacing w:val="11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Linden</w:t>
      </w:r>
      <w:r>
        <w:rPr>
          <w:spacing w:val="9"/>
          <w:w w:val="105"/>
        </w:rPr>
        <w:t> </w:t>
      </w:r>
      <w:r>
        <w:rPr>
          <w:w w:val="105"/>
        </w:rPr>
        <w:t>Mercer</w:t>
      </w:r>
      <w:r>
        <w:rPr>
          <w:spacing w:val="10"/>
          <w:w w:val="105"/>
        </w:rPr>
        <w:t> </w:t>
      </w:r>
      <w:r>
        <w:rPr>
          <w:w w:val="105"/>
        </w:rPr>
        <w:t>Insurance,</w:t>
      </w:r>
      <w:r>
        <w:rPr>
          <w:spacing w:val="10"/>
          <w:w w:val="105"/>
        </w:rPr>
        <w:t> </w:t>
      </w:r>
      <w:r>
        <w:rPr>
          <w:w w:val="105"/>
        </w:rPr>
        <w:t>Minneapolis,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tabs>
          <w:tab w:pos="904" w:val="left" w:leader="none"/>
        </w:tabs>
        <w:spacing w:line="278" w:lineRule="auto" w:before="153"/>
        <w:ind w:left="904" w:right="3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Coordinate a 27-project IT portfolio with $4.7M in combined annual budget,</w:t>
      </w:r>
      <w:r>
        <w:rPr>
          <w:spacing w:val="40"/>
          <w:w w:val="105"/>
        </w:rPr>
        <w:t> </w:t>
      </w:r>
      <w:r>
        <w:rPr>
          <w:w w:val="105"/>
        </w:rPr>
        <w:t>reporting to the VP of PMO.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3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Own the monthly steering committee deck: portfolio health, burn rate, top 5</w:t>
      </w:r>
      <w:r>
        <w:rPr>
          <w:spacing w:val="40"/>
          <w:w w:val="105"/>
        </w:rPr>
        <w:t> </w:t>
      </w:r>
      <w:r>
        <w:rPr>
          <w:w w:val="105"/>
        </w:rPr>
        <w:t>risks, and decisions needed.</w:t>
      </w:r>
    </w:p>
    <w:p>
      <w:pPr>
        <w:pStyle w:val="BodyText"/>
        <w:tabs>
          <w:tab w:pos="904" w:val="left" w:leader="none"/>
        </w:tabs>
        <w:spacing w:line="278" w:lineRule="auto" w:before="104"/>
        <w:ind w:left="904" w:right="3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Cut the average project close-out time from 6 weeks to 11 days by rewriting the closure checklist and chasing sign-offs directly.</w:t>
      </w:r>
    </w:p>
    <w:p>
      <w:pPr>
        <w:pStyle w:val="BodyText"/>
        <w:tabs>
          <w:tab w:pos="904" w:val="left" w:leader="none"/>
        </w:tabs>
        <w:spacing w:line="278" w:lineRule="auto" w:before="75"/>
        <w:ind w:left="904" w:right="3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Manage vendor SOWs and change orders with 14 active vendors; reconcile against PO balances each month.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597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Mentor three junior coordinators on RAID logs, status writing, and how to run a useful standup.</w:t>
      </w:r>
    </w:p>
    <w:p>
      <w:pPr>
        <w:pStyle w:val="BodyText"/>
        <w:spacing w:before="178"/>
        <w:ind w:left="123"/>
      </w:pPr>
      <w:r>
        <w:rPr>
          <w:w w:val="105"/>
        </w:rPr>
        <w:t>2018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78"/>
        <w:ind w:left="123"/>
      </w:pPr>
      <w:r>
        <w:rPr>
          <w:w w:val="105"/>
        </w:rPr>
        <w:t>Project</w:t>
      </w:r>
      <w:r>
        <w:rPr>
          <w:spacing w:val="9"/>
          <w:w w:val="105"/>
        </w:rPr>
        <w:t> </w:t>
      </w:r>
      <w:r>
        <w:rPr>
          <w:w w:val="105"/>
        </w:rPr>
        <w:t>Coordinator</w:t>
      </w:r>
      <w:r>
        <w:rPr>
          <w:spacing w:val="11"/>
          <w:w w:val="105"/>
        </w:rPr>
        <w:t> </w:t>
      </w:r>
      <w:r>
        <w:rPr>
          <w:w w:val="105"/>
        </w:rPr>
        <w:t>|</w:t>
      </w:r>
      <w:r>
        <w:rPr>
          <w:spacing w:val="12"/>
          <w:w w:val="105"/>
        </w:rPr>
        <w:t> </w:t>
      </w:r>
      <w:r>
        <w:rPr>
          <w:w w:val="105"/>
        </w:rPr>
        <w:t>Northbridge</w:t>
      </w:r>
      <w:r>
        <w:rPr>
          <w:spacing w:val="10"/>
          <w:w w:val="105"/>
        </w:rPr>
        <w:t> </w:t>
      </w:r>
      <w:r>
        <w:rPr>
          <w:w w:val="105"/>
        </w:rPr>
        <w:t>Quayle</w:t>
      </w:r>
      <w:r>
        <w:rPr>
          <w:spacing w:val="10"/>
          <w:w w:val="105"/>
        </w:rPr>
        <w:t> </w:t>
      </w:r>
      <w:r>
        <w:rPr>
          <w:w w:val="105"/>
        </w:rPr>
        <w:t>Health,</w:t>
      </w:r>
      <w:r>
        <w:rPr>
          <w:spacing w:val="12"/>
          <w:w w:val="105"/>
        </w:rPr>
        <w:t> </w:t>
      </w:r>
      <w:r>
        <w:rPr>
          <w:w w:val="105"/>
        </w:rPr>
        <w:t>Saint</w:t>
      </w:r>
      <w:r>
        <w:rPr>
          <w:spacing w:val="11"/>
          <w:w w:val="105"/>
        </w:rPr>
        <w:t> </w:t>
      </w:r>
      <w:r>
        <w:rPr>
          <w:w w:val="105"/>
        </w:rPr>
        <w:t>Paul,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tabs>
          <w:tab w:pos="904" w:val="left" w:leader="none"/>
        </w:tabs>
        <w:spacing w:line="278" w:lineRule="auto" w:before="153"/>
        <w:ind w:left="904" w:right="3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Supported the EHR upgrade program across 4 clinic sites and roughly 380</w:t>
      </w:r>
      <w:r>
        <w:rPr>
          <w:spacing w:val="40"/>
          <w:w w:val="105"/>
        </w:rPr>
        <w:t> </w:t>
      </w:r>
      <w:r>
        <w:rPr>
          <w:w w:val="105"/>
        </w:rPr>
        <w:t>end users.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223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 the master schedule in MS Project linking clinical training, cutover, and go-live support windows.</w:t>
      </w:r>
    </w:p>
    <w:p>
      <w:pPr>
        <w:pStyle w:val="BodyText"/>
        <w:tabs>
          <w:tab w:pos="904" w:val="left" w:leader="none"/>
        </w:tabs>
        <w:spacing w:line="278" w:lineRule="auto" w:before="104"/>
        <w:ind w:left="904" w:right="584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Coordinated nightly status calls during go-live and tracked 240+ tickets</w:t>
      </w:r>
      <w:r>
        <w:rPr>
          <w:spacing w:val="80"/>
          <w:w w:val="105"/>
        </w:rPr>
        <w:t> </w:t>
      </w:r>
      <w:r>
        <w:rPr>
          <w:w w:val="105"/>
        </w:rPr>
        <w:t>from open to resolution.</w:t>
      </w:r>
    </w:p>
    <w:p>
      <w:pPr>
        <w:pStyle w:val="BodyText"/>
        <w:tabs>
          <w:tab w:pos="904" w:val="left" w:leader="none"/>
        </w:tabs>
        <w:spacing w:line="278" w:lineRule="auto" w:before="75"/>
        <w:ind w:left="904" w:right="72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Wrote the post-implementation review that informed scope on the next phase of the rollout.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584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Maintained sponsor confidence with weekly one-page summaries instead</w:t>
      </w:r>
      <w:r>
        <w:rPr>
          <w:spacing w:val="80"/>
          <w:w w:val="105"/>
        </w:rPr>
        <w:t> </w:t>
      </w:r>
      <w:r>
        <w:rPr>
          <w:w w:val="105"/>
        </w:rPr>
        <w:t>of long status reports.</w:t>
      </w:r>
    </w:p>
    <w:p>
      <w:pPr>
        <w:pStyle w:val="BodyText"/>
        <w:spacing w:before="178"/>
        <w:ind w:left="123"/>
      </w:pPr>
      <w:r>
        <w:rPr>
          <w:w w:val="105"/>
        </w:rPr>
        <w:t>2016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78"/>
        <w:ind w:left="123"/>
      </w:pPr>
      <w:r>
        <w:rPr>
          <w:w w:val="105"/>
        </w:rPr>
        <w:t>Project</w:t>
      </w:r>
      <w:r>
        <w:rPr>
          <w:spacing w:val="12"/>
          <w:w w:val="105"/>
        </w:rPr>
        <w:t> </w:t>
      </w:r>
      <w:r>
        <w:rPr>
          <w:w w:val="105"/>
        </w:rPr>
        <w:t>Coordinator</w:t>
      </w:r>
      <w:r>
        <w:rPr>
          <w:spacing w:val="12"/>
          <w:w w:val="105"/>
        </w:rPr>
        <w:t> </w:t>
      </w:r>
      <w:r>
        <w:rPr>
          <w:w w:val="105"/>
        </w:rPr>
        <w:t>|</w:t>
      </w:r>
      <w:r>
        <w:rPr>
          <w:spacing w:val="12"/>
          <w:w w:val="105"/>
        </w:rPr>
        <w:t> </w:t>
      </w:r>
      <w:r>
        <w:rPr>
          <w:w w:val="105"/>
        </w:rPr>
        <w:t>Eastvale</w:t>
      </w:r>
      <w:r>
        <w:rPr>
          <w:spacing w:val="11"/>
          <w:w w:val="105"/>
        </w:rPr>
        <w:t> </w:t>
      </w:r>
      <w:r>
        <w:rPr>
          <w:w w:val="105"/>
        </w:rPr>
        <w:t>Plate</w:t>
      </w:r>
      <w:r>
        <w:rPr>
          <w:spacing w:val="11"/>
          <w:w w:val="105"/>
        </w:rPr>
        <w:t> </w:t>
      </w:r>
      <w:r>
        <w:rPr>
          <w:w w:val="105"/>
        </w:rPr>
        <w:t>Manufacturing,</w:t>
      </w:r>
      <w:r>
        <w:rPr>
          <w:spacing w:val="13"/>
          <w:w w:val="105"/>
        </w:rPr>
        <w:t> </w:t>
      </w:r>
      <w:r>
        <w:rPr>
          <w:w w:val="105"/>
        </w:rPr>
        <w:t>Eagan,</w:t>
      </w:r>
      <w:r>
        <w:rPr>
          <w:spacing w:val="12"/>
          <w:w w:val="105"/>
        </w:rPr>
        <w:t> </w:t>
      </w:r>
      <w:r>
        <w:rPr>
          <w:spacing w:val="-7"/>
          <w:w w:val="105"/>
        </w:rPr>
        <w:t>MN</w:t>
      </w:r>
    </w:p>
    <w:p>
      <w:pPr>
        <w:pStyle w:val="BodyText"/>
        <w:tabs>
          <w:tab w:pos="904" w:val="left" w:leader="none"/>
        </w:tabs>
        <w:spacing w:line="278" w:lineRule="auto" w:before="153"/>
        <w:ind w:left="904" w:right="903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Coordinated 8 to 10 capital projects per year on the plant floor, from conveyor upgrades to safety retrofits.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3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Tracked</w:t>
      </w:r>
      <w:r>
        <w:rPr>
          <w:spacing w:val="26"/>
          <w:w w:val="105"/>
        </w:rPr>
        <w:t> </w:t>
      </w:r>
      <w:r>
        <w:rPr>
          <w:w w:val="105"/>
        </w:rPr>
        <w:t>engineering</w:t>
      </w:r>
      <w:r>
        <w:rPr>
          <w:spacing w:val="26"/>
          <w:w w:val="105"/>
        </w:rPr>
        <w:t> </w:t>
      </w:r>
      <w:r>
        <w:rPr>
          <w:w w:val="105"/>
        </w:rPr>
        <w:t>hours,</w:t>
      </w:r>
      <w:r>
        <w:rPr>
          <w:spacing w:val="26"/>
          <w:w w:val="105"/>
        </w:rPr>
        <w:t> </w:t>
      </w:r>
      <w:r>
        <w:rPr>
          <w:w w:val="105"/>
        </w:rPr>
        <w:t>contractor</w:t>
      </w:r>
      <w:r>
        <w:rPr>
          <w:spacing w:val="26"/>
          <w:w w:val="105"/>
        </w:rPr>
        <w:t> </w:t>
      </w:r>
      <w:r>
        <w:rPr>
          <w:w w:val="105"/>
        </w:rPr>
        <w:t>invoices,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equipment</w:t>
      </w:r>
      <w:r>
        <w:rPr>
          <w:spacing w:val="26"/>
          <w:w w:val="105"/>
        </w:rPr>
        <w:t> </w:t>
      </w:r>
      <w:r>
        <w:rPr>
          <w:w w:val="105"/>
        </w:rPr>
        <w:t>lead</w:t>
      </w:r>
      <w:r>
        <w:rPr>
          <w:spacing w:val="26"/>
          <w:w w:val="105"/>
        </w:rPr>
        <w:t> </w:t>
      </w:r>
      <w:r>
        <w:rPr>
          <w:w w:val="105"/>
        </w:rPr>
        <w:t>times in a shared SharePoint workbook.</w:t>
      </w:r>
    </w:p>
    <w:p>
      <w:pPr>
        <w:pStyle w:val="BodyText"/>
        <w:tabs>
          <w:tab w:pos="904" w:val="left" w:leader="none"/>
        </w:tabs>
        <w:spacing w:line="278" w:lineRule="auto" w:before="104"/>
        <w:ind w:left="904" w:right="3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Ran weekly construction coordination meetings with engineering, EHS, and the plant manager.</w:t>
      </w:r>
    </w:p>
    <w:p>
      <w:pPr>
        <w:pStyle w:val="BodyText"/>
        <w:tabs>
          <w:tab w:pos="904" w:val="left" w:leader="none"/>
        </w:tabs>
        <w:spacing w:line="278" w:lineRule="auto" w:before="75"/>
        <w:ind w:left="904" w:right="59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Closed out 22 capital projects with documentation accepted by internal</w:t>
      </w:r>
      <w:r>
        <w:rPr>
          <w:spacing w:val="40"/>
          <w:w w:val="105"/>
        </w:rPr>
        <w:t> </w:t>
      </w:r>
      <w:r>
        <w:rPr>
          <w:w w:val="105"/>
        </w:rPr>
        <w:t>audit on the first pass.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0" w:left="992" w:right="0"/>
          <w:cols w:num="2" w:equalWidth="0">
            <w:col w:w="2755" w:space="481"/>
            <w:col w:w="7692"/>
          </w:cols>
        </w:sectPr>
      </w:pPr>
    </w:p>
    <w:p>
      <w:pPr>
        <w:pStyle w:val="BodyText"/>
        <w:spacing w:before="165"/>
        <w:ind w:left="33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81525"/>
                                </a:moveTo>
                                <a:lnTo>
                                  <a:pt x="0" y="4581525"/>
                                </a:lnTo>
                                <a:lnTo>
                                  <a:pt x="0" y="10382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10382250"/>
                                </a:lnTo>
                                <a:lnTo>
                                  <a:pt x="2571737" y="458152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457575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781425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523862" y="4838699"/>
                            <a:ext cx="4762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266950">
                                <a:moveTo>
                                  <a:pt x="47625" y="2239797"/>
                                </a:moveTo>
                                <a:lnTo>
                                  <a:pt x="27165" y="2219325"/>
                                </a:lnTo>
                                <a:lnTo>
                                  <a:pt x="20472" y="2219325"/>
                                </a:lnTo>
                                <a:lnTo>
                                  <a:pt x="0" y="2239797"/>
                                </a:lnTo>
                                <a:lnTo>
                                  <a:pt x="0" y="2243366"/>
                                </a:lnTo>
                                <a:lnTo>
                                  <a:pt x="0" y="2246490"/>
                                </a:lnTo>
                                <a:lnTo>
                                  <a:pt x="20472" y="2266950"/>
                                </a:lnTo>
                                <a:lnTo>
                                  <a:pt x="27165" y="2266950"/>
                                </a:lnTo>
                                <a:lnTo>
                                  <a:pt x="47625" y="2246490"/>
                                </a:lnTo>
                                <a:lnTo>
                                  <a:pt x="47625" y="2239797"/>
                                </a:lnTo>
                                <a:close/>
                              </a:path>
                              <a:path w="47625" h="2266950">
                                <a:moveTo>
                                  <a:pt x="47625" y="2039772"/>
                                </a:moveTo>
                                <a:lnTo>
                                  <a:pt x="27165" y="2019300"/>
                                </a:lnTo>
                                <a:lnTo>
                                  <a:pt x="20472" y="2019300"/>
                                </a:lnTo>
                                <a:lnTo>
                                  <a:pt x="0" y="2039772"/>
                                </a:lnTo>
                                <a:lnTo>
                                  <a:pt x="0" y="2043341"/>
                                </a:lnTo>
                                <a:lnTo>
                                  <a:pt x="0" y="2046465"/>
                                </a:lnTo>
                                <a:lnTo>
                                  <a:pt x="20472" y="2066925"/>
                                </a:lnTo>
                                <a:lnTo>
                                  <a:pt x="27165" y="2066925"/>
                                </a:lnTo>
                                <a:lnTo>
                                  <a:pt x="47625" y="2046465"/>
                                </a:lnTo>
                                <a:lnTo>
                                  <a:pt x="47625" y="2039772"/>
                                </a:lnTo>
                                <a:close/>
                              </a:path>
                              <a:path w="47625" h="2266950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266950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266950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226695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266950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2266950">
                                <a:moveTo>
                                  <a:pt x="47625" y="649122"/>
                                </a:moveTo>
                                <a:lnTo>
                                  <a:pt x="27165" y="628650"/>
                                </a:lnTo>
                                <a:lnTo>
                                  <a:pt x="20472" y="628650"/>
                                </a:lnTo>
                                <a:lnTo>
                                  <a:pt x="0" y="649122"/>
                                </a:lnTo>
                                <a:lnTo>
                                  <a:pt x="0" y="652691"/>
                                </a:lnTo>
                                <a:lnTo>
                                  <a:pt x="0" y="655815"/>
                                </a:lnTo>
                                <a:lnTo>
                                  <a:pt x="20472" y="676275"/>
                                </a:lnTo>
                                <a:lnTo>
                                  <a:pt x="27165" y="676275"/>
                                </a:lnTo>
                                <a:lnTo>
                                  <a:pt x="47625" y="655815"/>
                                </a:lnTo>
                                <a:lnTo>
                                  <a:pt x="47625" y="649122"/>
                                </a:lnTo>
                                <a:close/>
                              </a:path>
                              <a:path w="47625" h="2266950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226695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2669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4324349"/>
                            <a:ext cx="2571750" cy="257175"/>
                          </a:xfrm>
                          <a:prstGeom prst="rect">
                            <a:avLst/>
                          </a:prstGeom>
                          <a:solidFill>
                            <a:srgbClr val="F4CCC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539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7D7D7D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7D7D7D"/>
                                  <w:spacing w:val="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D7D7D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2924174"/>
                            <a:ext cx="2571750" cy="140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9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24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(612)</w:t>
                              </w:r>
                              <w:r>
                                <w:rPr>
                                  <w:color w:val="FFFFFF"/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0192</w:t>
                              </w:r>
                            </w:p>
                            <w:p>
                              <w:pPr>
                                <w:spacing w:line="240" w:lineRule="auto" w:before="8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590" w:lineRule="auto" w:before="0"/>
                                <w:ind w:left="124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12">
                                <w:r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d.okafor@example.com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Minneapolis,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MN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2666999"/>
                            <a:ext cx="2571750" cy="257175"/>
                          </a:xfrm>
                          <a:prstGeom prst="rect">
                            <a:avLst/>
                          </a:prstGeom>
                          <a:solidFill>
                            <a:srgbClr val="F4CCC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539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7D7D7D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7D7D7D"/>
                                  <w:spacing w:val="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D7D7D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809536" id="docshapegroup2" coordorigin="0,0" coordsize="4050,16860">
                <v:shape style="position:absolute;left:0;top:0;width:4050;height:16860" id="docshape3" coordorigin="0,0" coordsize="4050,16860" path="m4050,7215l0,7215,0,16350,0,16860,4050,16860,4050,16350,4050,7215xm4050,4605l0,4605,0,6810,4050,6810,4050,4605xm4050,0l0,0,0,4110,0,4200,4050,4200,4050,4110,4050,0xe" filled="true" fillcolor="#7d7d7d" stroked="false">
                  <v:path arrowok="t"/>
                  <v:fill type="solid"/>
                </v:shape>
                <v:shape style="position:absolute;left:510;top:795;width:3045;height:3045" id="docshape4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5" stroked="false">
                  <v:imagedata r:id="rId8" o:title=""/>
                </v:shape>
                <v:shape style="position:absolute;left:825;top:4950;width:255;height:255" type="#_x0000_t75" id="docshape6" stroked="false">
                  <v:imagedata r:id="rId9" o:title=""/>
                </v:shape>
                <v:shape style="position:absolute;left:842;top:5445;width:226;height:261" type="#_x0000_t75" id="docshape7" stroked="false">
                  <v:imagedata r:id="rId10" o:title=""/>
                </v:shape>
                <v:shape style="position:absolute;left:825;top:5955;width:255;height:255" type="#_x0000_t75" id="docshape8" stroked="false">
                  <v:imagedata r:id="rId11" o:title=""/>
                </v:shape>
                <v:shape style="position:absolute;left:824;top:7620;width:75;height:3570" id="docshape9" coordorigin="825,7620" coordsize="75,3570" path="m900,11147l899,11142,895,11133,893,11129,886,11122,882,11120,873,11116,868,11115,857,11115,852,11116,843,11120,839,11122,832,11129,830,11133,826,11142,825,11147,825,11153,825,11158,826,11163,830,11172,832,11176,839,11183,843,11185,852,11189,857,11190,868,11190,873,11189,882,11185,886,11183,893,11176,895,11172,899,11163,900,11158,900,11147xm900,10832l899,10827,895,10818,893,10814,886,10807,882,10805,873,10801,868,10800,857,10800,852,10801,843,10805,839,10807,832,10814,830,10818,826,10827,825,10832,825,10838,825,10843,826,10848,830,10857,832,10861,839,10868,843,10870,852,10874,857,10875,868,10875,873,10874,882,10870,886,10868,893,10861,895,10857,899,10848,900,10843,900,10832xm900,10502l899,10497,895,10488,893,10484,886,10477,882,10475,873,10471,868,10470,857,10470,852,10471,843,10475,839,10477,832,10484,830,10488,826,10497,825,10502,825,10508,825,10513,826,10518,830,10527,832,10531,839,10538,843,10540,852,10544,857,10545,868,10545,873,10544,882,10540,886,10538,893,10531,895,10527,899,10518,900,10513,900,10502xm900,10172l899,10167,895,10158,893,10154,886,10147,882,10145,873,10141,868,10140,857,10140,852,10141,843,10145,839,10147,832,10154,830,10158,826,10167,825,10172,825,10178,825,10183,826,10188,830,10197,832,10201,839,10208,843,10210,852,10214,857,10215,868,10215,873,10214,882,10210,886,10208,893,10201,895,10197,899,10188,900,10183,900,10172xm900,9617l899,9612,895,9603,893,9599,886,9592,882,9590,873,9586,868,9585,857,9585,852,9586,843,9590,839,9592,832,9599,830,9603,826,9612,825,9617,825,9623,825,9628,826,9633,830,9642,832,9646,839,9653,843,9655,852,9659,857,9660,868,9660,873,9659,882,9655,886,9653,893,9646,895,9642,899,9633,900,9628,900,9617xm900,9287l899,9282,895,9273,893,9269,886,9262,882,9260,873,9256,868,9255,857,9255,852,9256,843,9260,839,9262,832,9269,830,9273,826,9282,825,9287,825,9293,825,9298,826,9303,830,9312,832,9316,839,9323,843,9325,852,9329,857,9330,868,9330,873,9329,882,9325,886,9323,893,9316,895,9312,899,9303,900,9298,900,9287xm900,8957l899,8952,895,8943,893,8939,886,8932,882,8930,873,8926,868,8925,857,8925,852,8926,843,8930,839,8932,832,8939,830,8943,826,8952,825,8957,825,8963,825,8968,826,8973,830,8982,832,8986,839,8993,843,8995,852,8999,857,9000,868,9000,873,8999,882,8995,886,8993,893,8986,895,8982,899,8973,900,8968,900,8957xm900,8642l899,8637,895,8628,893,8624,886,8617,882,8615,873,8611,868,8610,857,8610,852,8611,843,8615,839,8617,832,8624,830,8628,826,8637,825,8642,825,8648,825,8653,826,8658,830,8667,832,8671,839,8678,843,8680,852,8684,857,8685,868,8685,873,8684,882,8680,886,8678,893,8671,895,8667,899,8658,900,8653,900,8642xm900,8312l899,8307,895,8298,893,8294,886,8287,882,8285,873,8281,868,8280,857,8280,852,8281,843,8285,839,8287,832,8294,830,8298,826,8307,825,8312,825,8318,825,8323,826,8328,830,8337,832,8341,839,8348,843,8350,852,8354,857,8355,868,8355,873,8354,882,8350,886,8348,893,8341,895,8337,899,8328,900,8323,900,8312xm900,7982l899,7977,895,7968,893,7964,886,7957,882,7955,873,7951,868,7950,857,7950,852,7951,843,7955,839,7957,832,7964,830,7968,826,7977,825,7982,825,7988,825,7993,826,7998,830,8007,832,8011,839,8018,843,8020,852,8024,857,8025,868,8025,873,8024,882,8020,886,8018,893,8011,895,8007,899,7998,900,7993,900,7982xm900,7652l899,7647,895,7638,893,7634,886,7627,882,7625,873,7621,868,7620,857,7620,852,7621,843,7625,839,7627,832,7634,830,7638,826,7647,825,7652,825,7658,825,7663,826,7668,830,7677,832,7681,839,7688,843,7690,852,7694,857,7695,868,7695,873,7694,882,7690,886,7688,893,7681,895,7677,899,7668,900,7663,900,7652xe" filled="true" fillcolor="#ffffff" stroked="false">
                  <v:path arrowok="t"/>
                  <v:fill type="solid"/>
                </v:shape>
                <v:shape style="position:absolute;left:0;top:6810;width:4050;height:405" type="#_x0000_t202" id="docshape10" filled="true" fillcolor="#f4cccc" stroked="false">
                  <v:textbox inset="0,0,0,0">
                    <w:txbxContent>
                      <w:p>
                        <w:pPr>
                          <w:spacing w:before="63"/>
                          <w:ind w:left="539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7D7D7D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7D7D7D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7D7D7D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4605;width:4050;height:2205" type="#_x0000_t202" id="docshape11" filled="false" stroked="false">
                  <v:textbox inset="0,0,0,0">
                    <w:txbxContent>
                      <w:p>
                        <w:pPr>
                          <w:spacing w:line="240" w:lineRule="auto" w:before="149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24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(612)</w:t>
                        </w:r>
                        <w:r>
                          <w:rPr>
                            <w:color w:val="FFFFFF"/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0192</w:t>
                        </w:r>
                      </w:p>
                      <w:p>
                        <w:pPr>
                          <w:spacing w:line="240" w:lineRule="auto" w:before="8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590" w:lineRule="auto" w:before="0"/>
                          <w:ind w:left="1245" w:right="0" w:firstLine="0"/>
                          <w:jc w:val="left"/>
                          <w:rPr>
                            <w:sz w:val="18"/>
                          </w:rPr>
                        </w:pPr>
                        <w:hyperlink r:id="rId12"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>d.okafor@example.com</w:t>
                          </w:r>
                        </w:hyperlink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Minneapolis,</w:t>
                        </w:r>
                        <w:r>
                          <w:rPr>
                            <w:color w:val="FFFFFF"/>
                            <w:spacing w:val="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MN</w:t>
                        </w:r>
                        <w:r>
                          <w:rPr>
                            <w:color w:val="FFFFFF"/>
                            <w:spacing w:val="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0;top:4200;width:4050;height:405" type="#_x0000_t202" id="docshape12" filled="true" fillcolor="#f4cccc" stroked="false">
                  <v:textbox inset="0,0,0,0">
                    <w:txbxContent>
                      <w:p>
                        <w:pPr>
                          <w:spacing w:before="78"/>
                          <w:ind w:left="539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7D7D7D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7D7D7D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7D7D7D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2015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78"/>
        <w:ind w:left="3360"/>
      </w:pPr>
      <w:r>
        <w:rPr>
          <w:w w:val="105"/>
        </w:rPr>
        <w:t>Project Assistant</w:t>
      </w:r>
      <w:r>
        <w:rPr>
          <w:spacing w:val="13"/>
          <w:w w:val="105"/>
        </w:rPr>
        <w:t> </w:t>
      </w:r>
      <w:r>
        <w:rPr>
          <w:w w:val="105"/>
        </w:rPr>
        <w:t>|</w:t>
      </w:r>
      <w:r>
        <w:rPr>
          <w:spacing w:val="13"/>
          <w:w w:val="105"/>
        </w:rPr>
        <w:t> </w:t>
      </w:r>
      <w:r>
        <w:rPr>
          <w:w w:val="105"/>
        </w:rPr>
        <w:t>Cargill</w:t>
      </w:r>
      <w:r>
        <w:rPr>
          <w:spacing w:val="13"/>
          <w:w w:val="105"/>
        </w:rPr>
        <w:t> </w:t>
      </w:r>
      <w:r>
        <w:rPr>
          <w:w w:val="105"/>
        </w:rPr>
        <w:t>Reardon</w:t>
      </w:r>
      <w:r>
        <w:rPr>
          <w:spacing w:val="12"/>
          <w:w w:val="105"/>
        </w:rPr>
        <w:t> </w:t>
      </w:r>
      <w:r>
        <w:rPr>
          <w:w w:val="105"/>
        </w:rPr>
        <w:t>Consulting,</w:t>
      </w:r>
      <w:r>
        <w:rPr>
          <w:spacing w:val="13"/>
          <w:w w:val="105"/>
        </w:rPr>
        <w:t> </w:t>
      </w:r>
      <w:r>
        <w:rPr>
          <w:w w:val="105"/>
        </w:rPr>
        <w:t>Bloomington,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ListParagraph"/>
        <w:numPr>
          <w:ilvl w:val="0"/>
          <w:numId w:val="1"/>
        </w:numPr>
        <w:tabs>
          <w:tab w:pos="4141" w:val="left" w:leader="none"/>
        </w:tabs>
        <w:spacing w:line="278" w:lineRule="auto" w:before="153" w:after="0"/>
        <w:ind w:left="4141" w:right="509" w:hanging="304"/>
        <w:jc w:val="left"/>
        <w:rPr>
          <w:sz w:val="18"/>
        </w:rPr>
      </w:pPr>
      <w:r>
        <w:rPr>
          <w:w w:val="105"/>
          <w:sz w:val="18"/>
        </w:rPr>
        <w:t>Supported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principals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process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improvement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engagements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mid-market manufacturing clients.</w:t>
      </w:r>
    </w:p>
    <w:p>
      <w:pPr>
        <w:pStyle w:val="ListParagraph"/>
        <w:numPr>
          <w:ilvl w:val="0"/>
          <w:numId w:val="1"/>
        </w:numPr>
        <w:tabs>
          <w:tab w:pos="4141" w:val="left" w:leader="none"/>
        </w:tabs>
        <w:spacing w:line="278" w:lineRule="auto" w:before="74" w:after="0"/>
        <w:ind w:left="4141" w:right="359" w:hanging="304"/>
        <w:jc w:val="left"/>
        <w:rPr>
          <w:sz w:val="18"/>
        </w:rPr>
      </w:pPr>
      <w:r>
        <w:rPr>
          <w:w w:val="105"/>
          <w:sz w:val="18"/>
        </w:rPr>
        <w:t>Built status decks, meeting agendas, and travel logistics for engagements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averaging 14 weeks.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992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5717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0" h="10706100">
                              <a:moveTo>
                                <a:pt x="2571737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571737" y="10706087"/>
                              </a:lnTo>
                              <a:lnTo>
                                <a:pt x="2571737" y="8096250"/>
                              </a:lnTo>
                              <a:lnTo>
                                <a:pt x="2571737" y="2609850"/>
                              </a:lnTo>
                              <a:lnTo>
                                <a:pt x="257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7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202.5pt;height:843pt;mso-position-horizontal-relative:page;mso-position-vertical-relative:page;z-index:15730176" id="docshape13" coordorigin="0,0" coordsize="4050,16860" path="m4050,0l0,0,0,4110,0,12750,0,16860,4050,16860,4050,12750,4050,4110,4050,0xe" filled="true" fillcolor="#7d7d7d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4141" w:val="left" w:leader="none"/>
        </w:tabs>
        <w:spacing w:line="278" w:lineRule="auto" w:before="0" w:after="0"/>
        <w:ind w:left="4141" w:right="492" w:hanging="304"/>
        <w:jc w:val="left"/>
        <w:rPr>
          <w:sz w:val="18"/>
        </w:rPr>
      </w:pPr>
      <w:r>
        <w:rPr>
          <w:w w:val="105"/>
          <w:sz w:val="18"/>
        </w:rPr>
        <w:t>Took on the client-facing weekly status email starting in month four of the </w:t>
      </w:r>
      <w:r>
        <w:rPr>
          <w:spacing w:val="-2"/>
          <w:w w:val="105"/>
          <w:sz w:val="18"/>
        </w:rPr>
        <w:t>role.</w:t>
      </w:r>
    </w:p>
    <w:p>
      <w:pPr>
        <w:pStyle w:val="BodyText"/>
        <w:spacing w:before="9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2647949</wp:posOffset>
                </wp:positionH>
                <wp:positionV relativeFrom="paragraph">
                  <wp:posOffset>145564</wp:posOffset>
                </wp:positionV>
                <wp:extent cx="4920615" cy="266700"/>
                <wp:effectExtent l="0" t="0" r="0" b="0"/>
                <wp:wrapTopAndBottom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7D7D7D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499969pt;margin-top:11.461761pt;width:387.45pt;height:21pt;mso-position-horizontal-relative:page;mso-position-vertical-relative:paragraph;z-index:-15727616;mso-wrap-distance-left:0;mso-wrap-distance-right:0" type="#_x0000_t202" id="docshape14" filled="true" fillcolor="#7d7d7d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line="460" w:lineRule="auto" w:before="161"/>
        <w:ind w:left="3360" w:right="2851"/>
      </w:pPr>
      <w:r>
        <w:rPr>
          <w:w w:val="105"/>
        </w:rPr>
        <w:t>B.A. in Communications, University of Minnesota, 2015 PMP (Project Management Professional), PMI, 2020</w:t>
      </w:r>
      <w:r>
        <w:rPr>
          <w:spacing w:val="40"/>
          <w:w w:val="105"/>
        </w:rPr>
        <w:t> </w:t>
      </w:r>
      <w:r>
        <w:rPr>
          <w:w w:val="105"/>
        </w:rPr>
        <w:t>ITIL 4 Foundation, 2022</w:t>
      </w:r>
    </w:p>
    <w:sectPr>
      <w:pgSz w:w="11920" w:h="16860"/>
      <w:pgMar w:top="0" w:bottom="0" w:left="992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3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141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18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497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175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54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33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11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90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9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28" w:right="1026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41" w:right="359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yperlink" Target="mailto:d.okafor@example.com" TargetMode="External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2026-07-16T20:46:18Z</dcterms:created>
  <dcterms:modified xsi:type="dcterms:W3CDTF">2026-07-16T20:46:18Z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