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32"/>
        <w:rPr>
          <w:rFonts w:ascii="Times New Roman"/>
          <w:sz w:val="74"/>
        </w:rPr>
      </w:pPr>
    </w:p>
    <w:p>
      <w:pPr>
        <w:pStyle w:val="Heading1"/>
      </w:pPr>
      <w:r>
        <w:rPr>
          <w:color w:val="21A699"/>
        </w:rPr>
        <w:t>MARCUS</w:t>
      </w:r>
      <w:r>
        <w:rPr>
          <w:color w:val="21A699"/>
          <w:spacing w:val="-4"/>
        </w:rPr>
        <w:t> </w:t>
      </w:r>
      <w:r>
        <w:rPr>
          <w:color w:val="B45D08"/>
          <w:spacing w:val="-5"/>
        </w:rPr>
        <w:t>LIN</w:t>
      </w:r>
    </w:p>
    <w:p>
      <w:pPr>
        <w:pStyle w:val="Heading2"/>
        <w:spacing w:before="207"/>
        <w:ind w:left="3261"/>
        <w:jc w:val="center"/>
      </w:pPr>
      <w:r>
        <w:rPr>
          <w:color w:val="21A699"/>
          <w:spacing w:val="-5"/>
        </w:rPr>
        <w:t>Fpa</w:t>
      </w:r>
    </w:p>
    <w:p>
      <w:pPr>
        <w:spacing w:line="273" w:lineRule="auto" w:before="178"/>
        <w:ind w:left="3608" w:right="348" w:hanging="1"/>
        <w:jc w:val="center"/>
        <w:rPr>
          <w:sz w:val="16"/>
        </w:rPr>
      </w:pPr>
      <w:r>
        <w:rPr>
          <w:color w:val="21A699"/>
          <w:w w:val="105"/>
          <w:sz w:val="16"/>
        </w:rPr>
        <w:t>FP&amp;A analyst</w:t>
      </w:r>
      <w:r>
        <w:rPr>
          <w:color w:val="21A699"/>
          <w:spacing w:val="29"/>
          <w:w w:val="105"/>
          <w:sz w:val="16"/>
        </w:rPr>
        <w:t> </w:t>
      </w:r>
      <w:r>
        <w:rPr>
          <w:color w:val="21A699"/>
          <w:w w:val="105"/>
          <w:sz w:val="16"/>
        </w:rPr>
        <w:t>with</w:t>
      </w:r>
      <w:r>
        <w:rPr>
          <w:color w:val="21A699"/>
          <w:spacing w:val="29"/>
          <w:w w:val="105"/>
          <w:sz w:val="16"/>
        </w:rPr>
        <w:t> </w:t>
      </w:r>
      <w:r>
        <w:rPr>
          <w:color w:val="21A699"/>
          <w:w w:val="105"/>
          <w:sz w:val="16"/>
        </w:rPr>
        <w:t>two</w:t>
      </w:r>
      <w:r>
        <w:rPr>
          <w:color w:val="21A699"/>
          <w:spacing w:val="29"/>
          <w:w w:val="105"/>
          <w:sz w:val="16"/>
        </w:rPr>
        <w:t> </w:t>
      </w:r>
      <w:r>
        <w:rPr>
          <w:color w:val="21A699"/>
          <w:w w:val="105"/>
          <w:sz w:val="16"/>
        </w:rPr>
        <w:t>years</w:t>
      </w:r>
      <w:r>
        <w:rPr>
          <w:color w:val="21A699"/>
          <w:spacing w:val="29"/>
          <w:w w:val="105"/>
          <w:sz w:val="16"/>
        </w:rPr>
        <w:t> </w:t>
      </w:r>
      <w:r>
        <w:rPr>
          <w:color w:val="21A699"/>
          <w:w w:val="105"/>
          <w:sz w:val="16"/>
        </w:rPr>
        <w:t>supporting</w:t>
      </w:r>
      <w:r>
        <w:rPr>
          <w:color w:val="21A699"/>
          <w:spacing w:val="29"/>
          <w:w w:val="105"/>
          <w:sz w:val="16"/>
        </w:rPr>
        <w:t> </w:t>
      </w:r>
      <w:r>
        <w:rPr>
          <w:color w:val="21A699"/>
          <w:w w:val="105"/>
          <w:sz w:val="16"/>
        </w:rPr>
        <w:t>departmental</w:t>
      </w:r>
      <w:r>
        <w:rPr>
          <w:color w:val="21A699"/>
          <w:spacing w:val="29"/>
          <w:w w:val="105"/>
          <w:sz w:val="16"/>
        </w:rPr>
        <w:t> </w:t>
      </w:r>
      <w:r>
        <w:rPr>
          <w:color w:val="21A699"/>
          <w:w w:val="105"/>
          <w:sz w:val="16"/>
        </w:rPr>
        <w:t>budgets</w:t>
      </w:r>
      <w:r>
        <w:rPr>
          <w:color w:val="21A699"/>
          <w:spacing w:val="29"/>
          <w:w w:val="105"/>
          <w:sz w:val="16"/>
        </w:rPr>
        <w:t> </w:t>
      </w:r>
      <w:r>
        <w:rPr>
          <w:color w:val="21A699"/>
          <w:w w:val="105"/>
          <w:sz w:val="16"/>
        </w:rPr>
        <w:t>and</w:t>
      </w:r>
      <w:r>
        <w:rPr>
          <w:color w:val="21A699"/>
          <w:spacing w:val="29"/>
          <w:w w:val="105"/>
          <w:sz w:val="16"/>
        </w:rPr>
        <w:t> </w:t>
      </w:r>
      <w:r>
        <w:rPr>
          <w:color w:val="21A699"/>
          <w:w w:val="105"/>
          <w:sz w:val="16"/>
        </w:rPr>
        <w:t>monthly</w:t>
      </w:r>
      <w:r>
        <w:rPr>
          <w:color w:val="21A699"/>
          <w:spacing w:val="29"/>
          <w:w w:val="105"/>
          <w:sz w:val="16"/>
        </w:rPr>
        <w:t> </w:t>
      </w:r>
      <w:r>
        <w:rPr>
          <w:color w:val="21A699"/>
          <w:w w:val="105"/>
          <w:sz w:val="16"/>
        </w:rPr>
        <w:t>close</w:t>
      </w:r>
      <w:r>
        <w:rPr>
          <w:color w:val="21A699"/>
          <w:spacing w:val="29"/>
          <w:w w:val="105"/>
          <w:sz w:val="16"/>
        </w:rPr>
        <w:t> </w:t>
      </w:r>
      <w:r>
        <w:rPr>
          <w:color w:val="21A699"/>
          <w:w w:val="105"/>
          <w:sz w:val="16"/>
        </w:rPr>
        <w:t>for</w:t>
      </w:r>
      <w:r>
        <w:rPr>
          <w:color w:val="21A699"/>
          <w:spacing w:val="29"/>
          <w:w w:val="105"/>
          <w:sz w:val="16"/>
        </w:rPr>
        <w:t> </w:t>
      </w:r>
      <w:r>
        <w:rPr>
          <w:color w:val="21A699"/>
          <w:w w:val="105"/>
          <w:sz w:val="16"/>
        </w:rPr>
        <w:t>a</w:t>
      </w:r>
      <w:r>
        <w:rPr>
          <w:color w:val="21A699"/>
          <w:spacing w:val="29"/>
          <w:w w:val="105"/>
          <w:sz w:val="16"/>
        </w:rPr>
        <w:t> </w:t>
      </w:r>
      <w:r>
        <w:rPr>
          <w:color w:val="21A699"/>
          <w:w w:val="105"/>
          <w:sz w:val="16"/>
        </w:rPr>
        <w:t>mid-market manufacturer. Strong Excel modeler, comfortable in NetSuite, and learning SQL on the</w:t>
      </w:r>
      <w:r>
        <w:rPr>
          <w:color w:val="21A699"/>
          <w:spacing w:val="40"/>
          <w:w w:val="105"/>
          <w:sz w:val="16"/>
        </w:rPr>
        <w:t> </w:t>
      </w:r>
      <w:r>
        <w:rPr>
          <w:color w:val="21A699"/>
          <w:w w:val="105"/>
          <w:sz w:val="16"/>
        </w:rPr>
        <w:t>job to pull cleaner data.</w:t>
      </w:r>
    </w:p>
    <w:p>
      <w:pPr>
        <w:pStyle w:val="BodyText"/>
        <w:spacing w:before="4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2505074</wp:posOffset>
                </wp:positionH>
                <wp:positionV relativeFrom="paragraph">
                  <wp:posOffset>105625</wp:posOffset>
                </wp:positionV>
                <wp:extent cx="4791075" cy="1905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7910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91075" h="19050">
                              <a:moveTo>
                                <a:pt x="4791074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4791074" y="0"/>
                              </a:lnTo>
                              <a:lnTo>
                                <a:pt x="4791074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7.249985pt;margin-top:8.316959pt;width:377.24997pt;height:1.5pt;mso-position-horizontal-relative:page;mso-position-vertical-relative:paragraph;z-index:-15728640;mso-wrap-distance-left:0;mso-wrap-distance-right:0" id="docshape1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40"/>
        <w:rPr>
          <w:sz w:val="22"/>
        </w:rPr>
      </w:pPr>
    </w:p>
    <w:p>
      <w:pPr>
        <w:pStyle w:val="Heading2"/>
        <w:ind w:left="3618"/>
      </w:pPr>
      <w:r>
        <w:rPr>
          <w:color w:val="21A699"/>
        </w:rPr>
        <w:t>PROFESSIONAL</w:t>
      </w:r>
      <w:r>
        <w:rPr>
          <w:color w:val="21A699"/>
          <w:spacing w:val="66"/>
        </w:rPr>
        <w:t> </w:t>
      </w:r>
      <w:r>
        <w:rPr>
          <w:color w:val="21A699"/>
          <w:spacing w:val="-2"/>
        </w:rPr>
        <w:t>EXPERIENCE</w:t>
      </w:r>
    </w:p>
    <w:p>
      <w:pPr>
        <w:pStyle w:val="BodyText"/>
        <w:spacing w:before="42"/>
        <w:rPr>
          <w:b/>
          <w:sz w:val="22"/>
        </w:rPr>
      </w:pPr>
    </w:p>
    <w:p>
      <w:pPr>
        <w:pStyle w:val="BodyText"/>
        <w:ind w:left="3711"/>
      </w:pPr>
      <w:r>
        <w:rPr/>
        <w:t>FP&amp;A</w:t>
      </w:r>
      <w:r>
        <w:rPr>
          <w:spacing w:val="-15"/>
        </w:rPr>
        <w:t> </w:t>
      </w:r>
      <w:r>
        <w:rPr/>
        <w:t>ANALYST</w:t>
      </w:r>
      <w:r>
        <w:rPr>
          <w:spacing w:val="14"/>
        </w:rPr>
        <w:t> </w:t>
      </w:r>
      <w:r>
        <w:rPr/>
        <w:t>|</w:t>
      </w:r>
      <w:r>
        <w:rPr>
          <w:spacing w:val="13"/>
        </w:rPr>
        <w:t> </w:t>
      </w:r>
      <w:r>
        <w:rPr/>
        <w:t>KEYSTONE</w:t>
      </w:r>
      <w:r>
        <w:rPr>
          <w:spacing w:val="9"/>
        </w:rPr>
        <w:t> </w:t>
      </w:r>
      <w:r>
        <w:rPr/>
        <w:t>VALVE</w:t>
      </w:r>
      <w:r>
        <w:rPr>
          <w:spacing w:val="9"/>
        </w:rPr>
        <w:t> </w:t>
      </w:r>
      <w:r>
        <w:rPr/>
        <w:t>&amp;</w:t>
      </w:r>
      <w:r>
        <w:rPr>
          <w:spacing w:val="9"/>
        </w:rPr>
        <w:t> </w:t>
      </w:r>
      <w:r>
        <w:rPr/>
        <w:t>FITTING,</w:t>
      </w:r>
      <w:r>
        <w:rPr>
          <w:spacing w:val="9"/>
        </w:rPr>
        <w:t> </w:t>
      </w:r>
      <w:r>
        <w:rPr/>
        <w:t>COLUMBUS,</w:t>
      </w:r>
      <w:r>
        <w:rPr>
          <w:spacing w:val="9"/>
        </w:rPr>
        <w:t> </w:t>
      </w:r>
      <w:r>
        <w:rPr>
          <w:spacing w:val="-5"/>
        </w:rPr>
        <w:t>OH</w:t>
      </w:r>
    </w:p>
    <w:p>
      <w:pPr>
        <w:pStyle w:val="BodyText"/>
        <w:spacing w:before="18"/>
        <w:ind w:left="3711"/>
      </w:pPr>
      <w:r>
        <w:rPr/>
        <w:t>2023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0" w:left="566" w:right="14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3"/>
      </w:pP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0" w:after="0"/>
        <w:ind w:left="382" w:right="38" w:hanging="298"/>
        <w:jc w:val="left"/>
        <w:rPr>
          <w:color w:val="F5F5F5"/>
          <w:position w:val="-4"/>
          <w:sz w:val="31"/>
        </w:rPr>
      </w:pPr>
      <w:r>
        <w:rPr>
          <w:color w:val="F5F5F5"/>
          <w:w w:val="105"/>
          <w:sz w:val="18"/>
        </w:rPr>
        <w:t>Excel (XLOOKUP, </w:t>
      </w:r>
      <w:r>
        <w:rPr>
          <w:color w:val="F5F5F5"/>
          <w:spacing w:val="-2"/>
          <w:w w:val="105"/>
          <w:sz w:val="18"/>
        </w:rPr>
        <w:t>INDEX/MATCH,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pivot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tables)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35" w:lineRule="exact" w:before="38" w:after="0"/>
        <w:ind w:left="380" w:right="0" w:hanging="296"/>
        <w:jc w:val="left"/>
        <w:rPr>
          <w:color w:val="F5F5F5"/>
          <w:position w:val="-2"/>
          <w:sz w:val="31"/>
        </w:rPr>
      </w:pPr>
      <w:r>
        <w:rPr>
          <w:color w:val="F5F5F5"/>
          <w:spacing w:val="-2"/>
          <w:w w:val="105"/>
          <w:sz w:val="18"/>
        </w:rPr>
        <w:t>NetSuite</w:t>
      </w:r>
    </w:p>
    <w:p>
      <w:pPr>
        <w:pStyle w:val="ListParagraph"/>
        <w:numPr>
          <w:ilvl w:val="1"/>
          <w:numId w:val="1"/>
        </w:numPr>
        <w:tabs>
          <w:tab w:pos="622" w:val="left" w:leader="none"/>
        </w:tabs>
        <w:spacing w:line="337" w:lineRule="exact" w:before="151" w:after="0"/>
        <w:ind w:left="622" w:right="0" w:hanging="296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18"/>
        </w:rPr>
        <w:t>Prepare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monthly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budget-to-actual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variance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reports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11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cost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centers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totaling</w:t>
      </w:r>
    </w:p>
    <w:p>
      <w:pPr>
        <w:pStyle w:val="BodyText"/>
        <w:spacing w:line="187" w:lineRule="exact"/>
        <w:ind w:left="623"/>
      </w:pPr>
      <w:r>
        <w:rPr>
          <w:w w:val="105"/>
        </w:rPr>
        <w:t>$42M</w:t>
      </w:r>
      <w:r>
        <w:rPr>
          <w:spacing w:val="-9"/>
          <w:w w:val="105"/>
        </w:rPr>
        <w:t> </w:t>
      </w:r>
      <w:r>
        <w:rPr>
          <w:w w:val="105"/>
        </w:rPr>
        <w:t>in</w:t>
      </w:r>
      <w:r>
        <w:rPr>
          <w:spacing w:val="-8"/>
          <w:w w:val="105"/>
        </w:rPr>
        <w:t> </w:t>
      </w:r>
      <w:r>
        <w:rPr>
          <w:w w:val="105"/>
        </w:rPr>
        <w:t>OpEx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walk</w:t>
      </w:r>
      <w:r>
        <w:rPr>
          <w:spacing w:val="-8"/>
          <w:w w:val="105"/>
        </w:rPr>
        <w:t> </w:t>
      </w:r>
      <w:r>
        <w:rPr>
          <w:w w:val="105"/>
        </w:rPr>
        <w:t>department</w:t>
      </w:r>
      <w:r>
        <w:rPr>
          <w:spacing w:val="-9"/>
          <w:w w:val="105"/>
        </w:rPr>
        <w:t> </w:t>
      </w:r>
      <w:r>
        <w:rPr>
          <w:w w:val="105"/>
        </w:rPr>
        <w:t>heads</w:t>
      </w:r>
      <w:r>
        <w:rPr>
          <w:spacing w:val="-8"/>
          <w:w w:val="105"/>
        </w:rPr>
        <w:t> </w:t>
      </w:r>
      <w:r>
        <w:rPr>
          <w:w w:val="105"/>
        </w:rPr>
        <w:t>through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drivers.</w:t>
      </w:r>
    </w:p>
    <w:p>
      <w:pPr>
        <w:pStyle w:val="ListParagraph"/>
        <w:numPr>
          <w:ilvl w:val="1"/>
          <w:numId w:val="1"/>
        </w:numPr>
        <w:tabs>
          <w:tab w:pos="621" w:val="left" w:leader="none"/>
          <w:tab w:pos="623" w:val="left" w:leader="none"/>
        </w:tabs>
        <w:spacing w:line="189" w:lineRule="auto" w:before="102" w:after="0"/>
        <w:ind w:left="623" w:right="65" w:hanging="298"/>
        <w:jc w:val="left"/>
        <w:rPr>
          <w:position w:val="-4"/>
          <w:sz w:val="31"/>
        </w:rPr>
      </w:pPr>
      <w:r>
        <w:rPr>
          <w:w w:val="105"/>
          <w:sz w:val="18"/>
        </w:rPr>
        <w:t>Maintain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rolling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13-week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cash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forecast;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caught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$310K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AP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timing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miscode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that would have understated August outﬂow.</w:t>
      </w:r>
    </w:p>
    <w:p>
      <w:pPr>
        <w:pStyle w:val="ListParagraph"/>
        <w:numPr>
          <w:ilvl w:val="1"/>
          <w:numId w:val="1"/>
        </w:numPr>
        <w:tabs>
          <w:tab w:pos="621" w:val="left" w:leader="none"/>
          <w:tab w:pos="623" w:val="left" w:leader="none"/>
        </w:tabs>
        <w:spacing w:line="201" w:lineRule="auto" w:before="97" w:after="0"/>
        <w:ind w:left="623" w:right="575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CapEx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tracker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Excel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pulling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NetSuite,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replacing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separate spreadsheets the controller used to reconcile by hand.</w:t>
      </w:r>
    </w:p>
    <w:p>
      <w:pPr>
        <w:pStyle w:val="ListParagraph"/>
        <w:numPr>
          <w:ilvl w:val="1"/>
          <w:numId w:val="1"/>
        </w:numPr>
        <w:tabs>
          <w:tab w:pos="621" w:val="left" w:leader="none"/>
          <w:tab w:pos="623" w:val="left" w:leader="none"/>
        </w:tabs>
        <w:spacing w:line="201" w:lineRule="auto" w:before="82" w:after="0"/>
        <w:ind w:left="623" w:right="668" w:hanging="298"/>
        <w:jc w:val="left"/>
        <w:rPr>
          <w:position w:val="-4"/>
          <w:sz w:val="31"/>
        </w:rPr>
      </w:pPr>
      <w:r>
        <w:rPr>
          <w:w w:val="105"/>
          <w:sz w:val="18"/>
        </w:rPr>
        <w:t>Support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annual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budget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season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collecting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bottoms-up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inputs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6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plant managers and consolidating into the CFO template.</w:t>
      </w:r>
    </w:p>
    <w:p>
      <w:pPr>
        <w:pStyle w:val="BodyText"/>
        <w:spacing w:before="148"/>
      </w:pPr>
    </w:p>
    <w:p>
      <w:pPr>
        <w:pStyle w:val="BodyText"/>
        <w:ind w:left="84"/>
      </w:pPr>
      <w:r>
        <w:rPr/>
        <w:t>FINANCE</w:t>
      </w:r>
      <w:r>
        <w:rPr>
          <w:spacing w:val="15"/>
        </w:rPr>
        <w:t> </w:t>
      </w:r>
      <w:r>
        <w:rPr/>
        <w:t>INTERN</w:t>
      </w:r>
      <w:r>
        <w:rPr>
          <w:spacing w:val="21"/>
        </w:rPr>
        <w:t> </w:t>
      </w:r>
      <w:r>
        <w:rPr/>
        <w:t>|</w:t>
      </w:r>
      <w:r>
        <w:rPr>
          <w:spacing w:val="21"/>
        </w:rPr>
        <w:t> </w:t>
      </w:r>
      <w:r>
        <w:rPr/>
        <w:t>RIVERBEND</w:t>
      </w:r>
      <w:r>
        <w:rPr>
          <w:spacing w:val="15"/>
        </w:rPr>
        <w:t> </w:t>
      </w:r>
      <w:r>
        <w:rPr/>
        <w:t>CAPITAL</w:t>
      </w:r>
      <w:r>
        <w:rPr>
          <w:spacing w:val="-6"/>
        </w:rPr>
        <w:t> </w:t>
      </w:r>
      <w:r>
        <w:rPr/>
        <w:t>ADVISORS,</w:t>
      </w:r>
      <w:r>
        <w:rPr>
          <w:spacing w:val="16"/>
        </w:rPr>
        <w:t> </w:t>
      </w:r>
      <w:r>
        <w:rPr/>
        <w:t>COLUMBUS,</w:t>
      </w:r>
      <w:r>
        <w:rPr>
          <w:spacing w:val="15"/>
        </w:rPr>
        <w:t> </w:t>
      </w:r>
      <w:r>
        <w:rPr>
          <w:spacing w:val="-5"/>
        </w:rPr>
        <w:t>OH</w:t>
      </w:r>
    </w:p>
    <w:p>
      <w:pPr>
        <w:pStyle w:val="BodyText"/>
        <w:spacing w:before="18"/>
        <w:ind w:left="84"/>
      </w:pPr>
      <w:r>
        <w:rPr/>
        <w:t>SUMMER</w:t>
      </w:r>
      <w:r>
        <w:rPr>
          <w:spacing w:val="-13"/>
        </w:rPr>
        <w:t> </w:t>
      </w:r>
      <w:r>
        <w:rPr>
          <w:spacing w:val="-4"/>
        </w:rPr>
        <w:t>2022</w:t>
      </w:r>
    </w:p>
    <w:p>
      <w:pPr>
        <w:pStyle w:val="BodyText"/>
        <w:spacing w:after="0"/>
        <w:sectPr>
          <w:type w:val="continuous"/>
          <w:pgSz w:w="11920" w:h="16860"/>
          <w:pgMar w:top="0" w:bottom="0" w:left="566" w:right="141"/>
          <w:cols w:num="2" w:equalWidth="0">
            <w:col w:w="2795" w:space="832"/>
            <w:col w:w="7586"/>
          </w:cols>
        </w:sectPr>
      </w:pP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43" w:lineRule="exact" w:before="0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Budget</w:t>
      </w:r>
      <w:r>
        <w:rPr>
          <w:color w:val="F5F5F5"/>
          <w:spacing w:val="-5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vs.</w:t>
      </w:r>
      <w:r>
        <w:rPr>
          <w:color w:val="F5F5F5"/>
          <w:spacing w:val="-4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actual</w:t>
      </w:r>
      <w:r>
        <w:rPr>
          <w:color w:val="F5F5F5"/>
          <w:spacing w:val="-4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analysis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30" w:lineRule="exact" w:before="0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w w:val="105"/>
          <w:sz w:val="18"/>
        </w:rPr>
        <w:t>Cash</w:t>
      </w:r>
      <w:r>
        <w:rPr>
          <w:color w:val="F5F5F5"/>
          <w:spacing w:val="-13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forecasting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20" w:lineRule="exact" w:before="0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CapEx</w:t>
      </w:r>
      <w:r>
        <w:rPr>
          <w:color w:val="F5F5F5"/>
          <w:spacing w:val="-7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tracking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11" w:lineRule="exact" w:before="0" w:after="0"/>
        <w:ind w:left="380" w:right="0" w:hanging="296"/>
        <w:jc w:val="left"/>
        <w:rPr>
          <w:color w:val="F5F5F5"/>
          <w:position w:val="-2"/>
          <w:sz w:val="31"/>
        </w:rPr>
      </w:pPr>
      <w:r>
        <w:rPr>
          <w:color w:val="F5F5F5"/>
          <w:spacing w:val="-2"/>
          <w:w w:val="105"/>
          <w:sz w:val="18"/>
        </w:rPr>
        <w:t>PowerPoint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114" w:after="0"/>
        <w:ind w:left="382" w:right="503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Built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DCF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trading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comps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middle-market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industrials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clients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under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 senior associate.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36" w:lineRule="exact" w:before="58" w:after="0"/>
        <w:ind w:left="38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Drafted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CIM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sections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covering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historical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ﬁnancials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customer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concentration.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24" w:lineRule="exact" w:before="0" w:after="0"/>
        <w:ind w:left="38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Cleaned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reformatted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target-company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data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tapes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deal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team.</w:t>
      </w:r>
    </w:p>
    <w:p>
      <w:pPr>
        <w:pStyle w:val="ListParagraph"/>
        <w:spacing w:after="0" w:line="324" w:lineRule="exact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566" w:right="141"/>
          <w:cols w:num="2" w:equalWidth="0">
            <w:col w:w="2572" w:space="1297"/>
            <w:col w:w="7344"/>
          </w:cols>
        </w:sectPr>
      </w:pP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43" w:lineRule="exact" w:before="1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30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050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505075" cy="10706100"/>
                          <a:chExt cx="25050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098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9825" h="10706100">
                                <a:moveTo>
                                  <a:pt x="2409812" y="4343400"/>
                                </a:moveTo>
                                <a:lnTo>
                                  <a:pt x="0" y="4343400"/>
                                </a:lnTo>
                                <a:lnTo>
                                  <a:pt x="0" y="8620125"/>
                                </a:lnTo>
                                <a:lnTo>
                                  <a:pt x="0" y="10706087"/>
                                </a:lnTo>
                                <a:lnTo>
                                  <a:pt x="2409812" y="10706087"/>
                                </a:lnTo>
                                <a:lnTo>
                                  <a:pt x="2409812" y="8620125"/>
                                </a:lnTo>
                                <a:lnTo>
                                  <a:pt x="2409812" y="4343400"/>
                                </a:lnTo>
                                <a:close/>
                              </a:path>
                              <a:path w="2409825" h="10706100">
                                <a:moveTo>
                                  <a:pt x="2409812" y="2676525"/>
                                </a:moveTo>
                                <a:lnTo>
                                  <a:pt x="0" y="2676525"/>
                                </a:lnTo>
                                <a:lnTo>
                                  <a:pt x="0" y="4057650"/>
                                </a:lnTo>
                                <a:lnTo>
                                  <a:pt x="2409812" y="4057650"/>
                                </a:lnTo>
                                <a:lnTo>
                                  <a:pt x="2409812" y="2676525"/>
                                </a:lnTo>
                                <a:close/>
                              </a:path>
                              <a:path w="2409825" h="10706100">
                                <a:moveTo>
                                  <a:pt x="24098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0300"/>
                                </a:lnTo>
                                <a:lnTo>
                                  <a:pt x="2409812" y="2400300"/>
                                </a:lnTo>
                                <a:lnTo>
                                  <a:pt x="2409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77" y="28479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90" y="3209924"/>
                            <a:ext cx="200739" cy="2311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628" y="3609975"/>
                            <a:ext cx="200663" cy="201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524" y="352424"/>
                            <a:ext cx="1628774" cy="1628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0" y="4057649"/>
                            <a:ext cx="2505075" cy="285750"/>
                          </a:xfrm>
                          <a:prstGeom prst="rect">
                            <a:avLst/>
                          </a:prstGeom>
                          <a:solidFill>
                            <a:srgbClr val="E78F3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390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color w:val="FFFFFF"/>
                                  <w:spacing w:val="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20328" y="3652377"/>
                            <a:ext cx="1148080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Columbus,</w:t>
                              </w:r>
                              <w:r>
                                <w:rPr>
                                  <w:color w:val="FFFFFF"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OH</w:t>
                              </w:r>
                              <w:r>
                                <w:rPr>
                                  <w:color w:val="FFFFFF"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12345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720328" y="3271377"/>
                            <a:ext cx="1372235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w w:val="105"/>
                                    <w:sz w:val="18"/>
                                  </w:rPr>
                                  <w:t>marcus.lin@example.com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20328" y="2890377"/>
                            <a:ext cx="811530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(614)</w:t>
                              </w:r>
                              <w:r>
                                <w:rPr>
                                  <w:color w:val="FFFFFF"/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555-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>0119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2400299"/>
                            <a:ext cx="2505075" cy="276225"/>
                          </a:xfrm>
                          <a:prstGeom prst="rect">
                            <a:avLst/>
                          </a:prstGeom>
                          <a:solidFill>
                            <a:srgbClr val="E78F3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390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CONTACT</w:t>
                              </w:r>
                              <w:r>
                                <w:rPr>
                                  <w:b/>
                                  <w:color w:val="FFFFFF"/>
                                  <w:spacing w:val="2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197.25pt;height:843pt;mso-position-horizontal-relative:page;mso-position-vertical-relative:page;z-index:-15783424" id="docshapegroup2" coordorigin="0,0" coordsize="3945,16860">
                <v:shape style="position:absolute;left:0;top:0;width:3795;height:16860" id="docshape3" coordorigin="0,0" coordsize="3795,16860" path="m3795,6840l0,6840,0,13575,0,16860,3795,16860,3795,13575,3795,6840xm3795,4215l0,4215,0,6390,3795,6390,3795,4215xm3795,0l0,0,0,3780,3795,3780,3795,0xe" filled="true" fillcolor="#21a699" stroked="false">
                  <v:path arrowok="t"/>
                  <v:fill type="solid"/>
                </v:shape>
                <v:shape style="position:absolute;left:645;top:4485;width:317;height:317" type="#_x0000_t75" id="docshape4" stroked="false">
                  <v:imagedata r:id="rId5" o:title=""/>
                </v:shape>
                <v:shape style="position:absolute;left:645;top:5055;width:317;height:365" type="#_x0000_t75" id="docshape5" stroked="false">
                  <v:imagedata r:id="rId6" o:title=""/>
                </v:shape>
                <v:shape style="position:absolute;left:645;top:5685;width:316;height:319" type="#_x0000_t75" id="docshape6" stroked="false">
                  <v:imagedata r:id="rId7" o:title=""/>
                </v:shape>
                <v:shape style="position:absolute;left:615;top:555;width:2565;height:2565" type="#_x0000_t75" id="docshape7" stroked="false">
                  <v:imagedata r:id="rId8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6390;width:3945;height:450" type="#_x0000_t202" id="docshape8" filled="true" fillcolor="#e78f36" stroked="false">
                  <v:textbox inset="0,0,0,0">
                    <w:txbxContent>
                      <w:p>
                        <w:pPr>
                          <w:spacing w:before="78"/>
                          <w:ind w:left="390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KEY</w:t>
                        </w:r>
                        <w:r>
                          <w:rPr>
                            <w:b/>
                            <w:color w:val="FFFFFF"/>
                            <w:spacing w:val="17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SKILLS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134;top:5751;width:1808;height:186" type="#_x0000_t202" id="docshape9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Columbus,</w:t>
                        </w:r>
                        <w:r>
                          <w:rPr>
                            <w:color w:val="FFFFFF"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z w:val="18"/>
                          </w:rPr>
                          <w:t>OH</w:t>
                        </w:r>
                        <w:r>
                          <w:rPr>
                            <w:color w:val="FFFFFF"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12345</w:t>
                        </w:r>
                      </w:p>
                    </w:txbxContent>
                  </v:textbox>
                  <w10:wrap type="none"/>
                </v:shape>
                <v:shape style="position:absolute;left:1134;top:5151;width:2161;height:186" type="#_x0000_t202" id="docshape10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w w:val="105"/>
                              <w:sz w:val="18"/>
                            </w:rPr>
                            <w:t>marcus.lin@example.com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1134;top:4551;width:1278;height:186" type="#_x0000_t202" id="docshape11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(614)</w:t>
                        </w:r>
                        <w:r>
                          <w:rPr>
                            <w:color w:val="FFFFFF"/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z w:val="18"/>
                          </w:rPr>
                          <w:t>555-</w:t>
                        </w: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>0119</w:t>
                        </w:r>
                      </w:p>
                    </w:txbxContent>
                  </v:textbox>
                  <w10:wrap type="none"/>
                </v:shape>
                <v:shape style="position:absolute;left:0;top:3780;width:3945;height:435" type="#_x0000_t202" id="docshape12" filled="true" fillcolor="#e78f36" stroked="false">
                  <v:textbox inset="0,0,0,0">
                    <w:txbxContent>
                      <w:p>
                        <w:pPr>
                          <w:spacing w:before="78"/>
                          <w:ind w:left="390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CONTACT</w:t>
                        </w:r>
                        <w:r>
                          <w:rPr>
                            <w:b/>
                            <w:color w:val="FFFFFF"/>
                            <w:spacing w:val="26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INFORMATION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5F5F5"/>
          <w:sz w:val="18"/>
        </w:rPr>
        <w:t>Beginner</w:t>
      </w:r>
      <w:r>
        <w:rPr>
          <w:color w:val="F5F5F5"/>
          <w:spacing w:val="15"/>
          <w:sz w:val="18"/>
        </w:rPr>
        <w:t> </w:t>
      </w:r>
      <w:r>
        <w:rPr>
          <w:color w:val="F5F5F5"/>
          <w:spacing w:val="-5"/>
          <w:sz w:val="18"/>
        </w:rPr>
        <w:t>SQL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43" w:lineRule="exact" w:before="0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sz w:val="18"/>
        </w:rPr>
        <w:t>Account</w:t>
      </w:r>
      <w:r>
        <w:rPr>
          <w:color w:val="F5F5F5"/>
          <w:spacing w:val="14"/>
          <w:sz w:val="18"/>
        </w:rPr>
        <w:t> </w:t>
      </w:r>
      <w:r>
        <w:rPr>
          <w:color w:val="F5F5F5"/>
          <w:spacing w:val="-2"/>
          <w:sz w:val="18"/>
        </w:rPr>
        <w:t>reconciliations</w:t>
      </w:r>
    </w:p>
    <w:p>
      <w:pPr>
        <w:pStyle w:val="Heading2"/>
        <w:spacing w:before="200"/>
      </w:pPr>
      <w:r>
        <w:rPr>
          <w:b w:val="0"/>
        </w:rPr>
        <w:br w:type="column"/>
      </w:r>
      <w:r>
        <w:rPr>
          <w:color w:val="21A699"/>
          <w:spacing w:val="-2"/>
        </w:rPr>
        <w:t>EDUCATION</w:t>
      </w:r>
    </w:p>
    <w:p>
      <w:pPr>
        <w:pStyle w:val="BodyText"/>
        <w:spacing w:before="41"/>
        <w:rPr>
          <w:b/>
          <w:sz w:val="22"/>
        </w:rPr>
      </w:pPr>
    </w:p>
    <w:p>
      <w:pPr>
        <w:pStyle w:val="BodyText"/>
        <w:spacing w:before="1"/>
        <w:ind w:left="177"/>
      </w:pPr>
      <w:r>
        <w:rPr>
          <w:spacing w:val="-2"/>
          <w:w w:val="105"/>
        </w:rPr>
        <w:t>BS,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Finance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Accounting,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Ohio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State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University,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2023</w:t>
      </w:r>
    </w:p>
    <w:sectPr>
      <w:type w:val="continuous"/>
      <w:pgSz w:w="11920" w:h="16860"/>
      <w:pgMar w:top="0" w:bottom="0" w:left="566" w:right="141"/>
      <w:cols w:num="2" w:equalWidth="0">
        <w:col w:w="2324" w:space="1210"/>
        <w:col w:w="767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82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23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58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2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18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34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510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261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84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80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marcus.lin@example.com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2026-07-21T14:08:37Z</dcterms:created>
  <dcterms:modified xsi:type="dcterms:W3CDTF">2026-07-21T14:08:37Z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2026-07-21T00:00:00Z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2026-07-21T00:00:00Z</vt:filetime>
  </property>
  <property fmtid="{D5CDD505-2E9C-101B-9397-08002B2CF9AE}" pid="5" name="Producer">
    <vt:lpwstr>Skia/PDF m121</vt:lpwstr>
  </property>
</Properties>
</file>