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97"/>
        <w:rPr>
          <w:rFonts w:ascii="Times New Roman"/>
          <w:sz w:val="74"/>
        </w:rPr>
      </w:pPr>
    </w:p>
    <w:p>
      <w:pPr>
        <w:spacing w:before="0"/>
        <w:ind w:left="5432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542924</wp:posOffset>
                </wp:positionH>
                <wp:positionV relativeFrom="paragraph">
                  <wp:posOffset>-149560</wp:posOffset>
                </wp:positionV>
                <wp:extent cx="1714500" cy="19907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714500" cy="1990725"/>
                        </a:xfrm>
                        <a:prstGeom prst="rect">
                          <a:avLst/>
                        </a:prstGeom>
                        <a:solidFill>
                          <a:srgbClr val="BE9000"/>
                        </a:solidFill>
                        <a:ln w="38099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35"/>
                              <w:ind w:left="675" w:right="0" w:firstLine="0"/>
                              <w:jc w:val="left"/>
                              <w:rPr>
                                <w:b/>
                                <w:color w:val="000000"/>
                                <w:sz w:val="8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9"/>
                              </w:rPr>
                              <w:t>AA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749996pt;margin-top:-11.77639pt;width:135pt;height:156.75pt;mso-position-horizontal-relative:page;mso-position-vertical-relative:paragraph;z-index:15732224" type="#_x0000_t202" id="docshape1" filled="true" fillcolor="#be9000" stroked="true" strokeweight="3.0pt" strokecolor="#ffffff">
                <v:textbox inset="0,0,0,0">
                  <w:txbxContent>
                    <w:p>
                      <w:pPr>
                        <w:spacing w:before="935"/>
                        <w:ind w:left="675" w:right="0" w:firstLine="0"/>
                        <w:jc w:val="left"/>
                        <w:rPr>
                          <w:b/>
                          <w:color w:val="000000"/>
                          <w:sz w:val="89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9"/>
                        </w:rPr>
                        <w:t>AA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color w:val="134E5C"/>
          <w:sz w:val="74"/>
        </w:rPr>
        <w:t>Angela</w:t>
      </w:r>
      <w:r>
        <w:rPr>
          <w:b/>
          <w:color w:val="134E5C"/>
          <w:spacing w:val="-45"/>
          <w:sz w:val="74"/>
        </w:rPr>
        <w:t> </w:t>
      </w:r>
      <w:r>
        <w:rPr>
          <w:color w:val="134E5C"/>
          <w:spacing w:val="-2"/>
          <w:sz w:val="74"/>
        </w:rPr>
        <w:t>Adams</w:t>
      </w:r>
    </w:p>
    <w:p>
      <w:pPr>
        <w:spacing w:before="72"/>
        <w:ind w:left="6738" w:right="0" w:firstLine="0"/>
        <w:jc w:val="left"/>
        <w:rPr>
          <w:sz w:val="22"/>
        </w:rPr>
      </w:pPr>
      <w:r>
        <w:rPr>
          <w:sz w:val="22"/>
        </w:rPr>
        <w:t>Chief</w:t>
      </w:r>
      <w:r>
        <w:rPr>
          <w:spacing w:val="1"/>
          <w:sz w:val="22"/>
        </w:rPr>
        <w:t> </w:t>
      </w:r>
      <w:r>
        <w:rPr>
          <w:sz w:val="22"/>
        </w:rPr>
        <w:t>Information</w:t>
      </w:r>
      <w:r>
        <w:rPr>
          <w:spacing w:val="1"/>
          <w:sz w:val="22"/>
        </w:rPr>
        <w:t> </w:t>
      </w:r>
      <w:r>
        <w:rPr>
          <w:sz w:val="22"/>
        </w:rPr>
        <w:t>Ofﬁcer</w:t>
      </w:r>
      <w:r>
        <w:rPr>
          <w:spacing w:val="1"/>
          <w:sz w:val="22"/>
        </w:rPr>
        <w:t> </w:t>
      </w:r>
      <w:r>
        <w:rPr>
          <w:spacing w:val="-5"/>
          <w:sz w:val="22"/>
        </w:rPr>
        <w:t>Cio</w:t>
      </w:r>
    </w:p>
    <w:p>
      <w:pPr>
        <w:pStyle w:val="BodyText"/>
        <w:spacing w:line="261" w:lineRule="auto" w:before="234"/>
        <w:ind w:left="4660" w:right="738"/>
        <w:jc w:val="center"/>
      </w:pPr>
      <w:r>
        <w:rPr>
          <w:w w:val="105"/>
        </w:rPr>
        <w:t>Chief</w:t>
      </w:r>
      <w:r>
        <w:rPr>
          <w:spacing w:val="-14"/>
          <w:w w:val="105"/>
        </w:rPr>
        <w:t> </w:t>
      </w:r>
      <w:r>
        <w:rPr>
          <w:w w:val="105"/>
        </w:rPr>
        <w:t>Information</w:t>
      </w:r>
      <w:r>
        <w:rPr>
          <w:spacing w:val="-13"/>
          <w:w w:val="105"/>
        </w:rPr>
        <w:t> </w:t>
      </w:r>
      <w:r>
        <w:rPr>
          <w:w w:val="105"/>
        </w:rPr>
        <w:t>Ofﬁcer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20</w:t>
      </w:r>
      <w:r>
        <w:rPr>
          <w:spacing w:val="-13"/>
          <w:w w:val="105"/>
        </w:rPr>
        <w:t> </w:t>
      </w:r>
      <w:r>
        <w:rPr>
          <w:w w:val="105"/>
        </w:rPr>
        <w:t>years</w:t>
      </w:r>
      <w:r>
        <w:rPr>
          <w:spacing w:val="-13"/>
          <w:w w:val="105"/>
        </w:rPr>
        <w:t> </w:t>
      </w:r>
      <w:r>
        <w:rPr>
          <w:w w:val="105"/>
        </w:rPr>
        <w:t>scaling</w:t>
      </w:r>
      <w:r>
        <w:rPr>
          <w:spacing w:val="-13"/>
          <w:w w:val="105"/>
        </w:rPr>
        <w:t> </w:t>
      </w:r>
      <w:r>
        <w:rPr>
          <w:w w:val="105"/>
        </w:rPr>
        <w:t>IT</w:t>
      </w:r>
      <w:r>
        <w:rPr>
          <w:spacing w:val="-14"/>
          <w:w w:val="105"/>
        </w:rPr>
        <w:t> </w:t>
      </w:r>
      <w:r>
        <w:rPr>
          <w:w w:val="105"/>
        </w:rPr>
        <w:t>functions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manufacturing and consumer goods. Most recent role oversaw 480 IT</w:t>
      </w:r>
      <w:r>
        <w:rPr>
          <w:spacing w:val="-2"/>
          <w:w w:val="105"/>
        </w:rPr>
        <w:t> </w:t>
      </w:r>
      <w:r>
        <w:rPr>
          <w:w w:val="105"/>
        </w:rPr>
        <w:t>staff across 9 countries and an annual operating budget north of $85M. Comfortable in front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board,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plant</w:t>
      </w:r>
      <w:r>
        <w:rPr>
          <w:spacing w:val="-1"/>
          <w:w w:val="105"/>
        </w:rPr>
        <w:t> </w:t>
      </w:r>
      <w:r>
        <w:rPr>
          <w:w w:val="105"/>
        </w:rPr>
        <w:t>ﬂoor,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inside</w:t>
      </w:r>
      <w:r>
        <w:rPr>
          <w:spacing w:val="-1"/>
          <w:w w:val="105"/>
        </w:rPr>
        <w:t> </w:t>
      </w:r>
      <w:r>
        <w:rPr>
          <w:w w:val="105"/>
        </w:rPr>
        <w:t>an</w:t>
      </w:r>
      <w:r>
        <w:rPr>
          <w:spacing w:val="-1"/>
          <w:w w:val="105"/>
        </w:rPr>
        <w:t> </w:t>
      </w:r>
      <w:r>
        <w:rPr>
          <w:w w:val="105"/>
        </w:rPr>
        <w:t>integration</w:t>
      </w:r>
      <w:r>
        <w:rPr>
          <w:spacing w:val="-1"/>
          <w:w w:val="105"/>
        </w:rPr>
        <w:t> </w:t>
      </w:r>
      <w:r>
        <w:rPr>
          <w:w w:val="105"/>
        </w:rPr>
        <w:t>war</w:t>
      </w:r>
      <w:r>
        <w:rPr>
          <w:spacing w:val="-1"/>
          <w:w w:val="105"/>
        </w:rPr>
        <w:t> </w:t>
      </w:r>
      <w:r>
        <w:rPr>
          <w:w w:val="105"/>
        </w:rPr>
        <w:t>room.</w:t>
      </w: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2952749</wp:posOffset>
                </wp:positionH>
                <wp:positionV relativeFrom="paragraph">
                  <wp:posOffset>179160</wp:posOffset>
                </wp:positionV>
                <wp:extent cx="4615815" cy="28575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15815" cy="2857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before="60"/>
                              <w:ind w:left="242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2.499969pt;margin-top:14.107112pt;width:363.45pt;height:22.5pt;mso-position-horizontal-relative:page;mso-position-vertical-relative:paragraph;z-index:-15728640;mso-wrap-distance-left:0;mso-wrap-distance-right:0" type="#_x0000_t202" id="docshape2" filled="true" fillcolor="#134e5c" stroked="false">
                <v:textbox inset="0,0,0,0">
                  <w:txbxContent>
                    <w:p>
                      <w:pPr>
                        <w:spacing w:before="60"/>
                        <w:ind w:left="242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pacing w:val="-2"/>
                          <w:sz w:val="24"/>
                        </w:rPr>
                        <w:t>PROFESSIONAL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Heading1"/>
        <w:spacing w:before="228"/>
      </w:pPr>
      <w:r>
        <w:rPr>
          <w:color w:val="FFFFFF"/>
          <w:spacing w:val="-2"/>
        </w:rPr>
        <w:t>CONTACT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line="261" w:lineRule="auto" w:before="74"/>
        <w:ind w:left="139" w:right="2923"/>
      </w:pPr>
      <w:r>
        <w:rPr/>
        <w:br w:type="column"/>
      </w:r>
      <w:r>
        <w:rPr>
          <w:w w:val="105"/>
        </w:rPr>
        <w:t>Chief Information Ofﬁcer | 2020 - Present </w:t>
      </w:r>
      <w:r>
        <w:rPr>
          <w:spacing w:val="-2"/>
          <w:w w:val="105"/>
        </w:rPr>
        <w:t>Halverson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Industrial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Group,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Minneapolis,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MN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3066" w:space="1565"/>
            <w:col w:w="7148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BodyText"/>
        <w:spacing w:before="109"/>
        <w:ind w:left="579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FFFFFF"/>
        </w:rPr>
        <w:t>(612) 555-0149</w:t>
      </w:r>
    </w:p>
    <w:p>
      <w:pPr>
        <w:pStyle w:val="BodyText"/>
        <w:spacing w:before="16"/>
      </w:pPr>
    </w:p>
    <w:p>
      <w:pPr>
        <w:pStyle w:val="BodyText"/>
        <w:spacing w:line="410" w:lineRule="auto"/>
        <w:ind w:left="580" w:right="375" w:firstLine="19"/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61"/>
          <w:w w:val="105"/>
          <w:sz w:val="20"/>
        </w:rPr>
        <w:t> </w:t>
      </w:r>
      <w:hyperlink r:id="rId7">
        <w:r>
          <w:rPr>
            <w:color w:val="FFFFFF"/>
            <w:w w:val="105"/>
          </w:rPr>
          <w:t>priya.anand@example.com</w:t>
        </w:r>
      </w:hyperlink>
      <w:r>
        <w:rPr>
          <w:color w:val="FFFFFF"/>
          <w:w w:val="105"/>
        </w:rPr>
        <w:t> </w:t>
      </w:r>
      <w:r>
        <w:rPr>
          <w:color w:val="FFFFFF"/>
          <w:position w:val="-10"/>
        </w:rPr>
        <w:drawing>
          <wp:inline distT="0" distB="0" distL="0" distR="0">
            <wp:extent cx="199480" cy="20076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10"/>
        </w:rPr>
      </w:r>
      <w:r>
        <w:rPr>
          <w:rFonts w:ascii="Times New Roman"/>
          <w:color w:val="FFFFFF"/>
          <w:spacing w:val="80"/>
          <w:w w:val="105"/>
        </w:rPr>
        <w:t> </w:t>
      </w:r>
      <w:r>
        <w:rPr>
          <w:color w:val="FFFFFF"/>
          <w:w w:val="105"/>
        </w:rPr>
        <w:t>Minneapolis, MN 12345</w:t>
      </w:r>
    </w:p>
    <w:p>
      <w:pPr>
        <w:pStyle w:val="BodyText"/>
        <w:spacing w:before="2"/>
      </w:pPr>
    </w:p>
    <w:p>
      <w:pPr>
        <w:pStyle w:val="Heading1"/>
      </w:pPr>
      <w:r>
        <w:rPr>
          <w:color w:val="FFFFFF"/>
          <w:spacing w:val="-2"/>
        </w:rPr>
        <w:t>EDUCATION</w:t>
      </w:r>
    </w:p>
    <w:p>
      <w:pPr>
        <w:pStyle w:val="BodyText"/>
        <w:spacing w:before="29"/>
        <w:rPr>
          <w:sz w:val="24"/>
        </w:rPr>
      </w:pPr>
    </w:p>
    <w:p>
      <w:pPr>
        <w:pStyle w:val="BodyText"/>
        <w:tabs>
          <w:tab w:pos="882" w:val="left" w:leader="none"/>
        </w:tabs>
        <w:spacing w:line="261" w:lineRule="auto" w:before="1"/>
        <w:ind w:left="882" w:right="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M.S.,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Information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Systems,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Carnegie </w:t>
      </w:r>
      <w:r>
        <w:rPr>
          <w:color w:val="FFFFFF"/>
          <w:w w:val="105"/>
        </w:rPr>
        <w:t>Mellon University, 2007</w:t>
      </w:r>
    </w:p>
    <w:p>
      <w:pPr>
        <w:pStyle w:val="BodyText"/>
        <w:spacing w:line="261" w:lineRule="auto" w:before="75"/>
        <w:ind w:left="139" w:right="533"/>
        <w:jc w:val="both"/>
      </w:pPr>
      <w:r>
        <w:rPr/>
        <w:br w:type="column"/>
      </w:r>
      <w:r>
        <w:rPr>
          <w:w w:val="105"/>
        </w:rPr>
        <w:t>Set</w:t>
      </w:r>
      <w:r>
        <w:rPr>
          <w:spacing w:val="-14"/>
          <w:w w:val="105"/>
        </w:rPr>
        <w:t> </w:t>
      </w:r>
      <w:r>
        <w:rPr>
          <w:w w:val="105"/>
        </w:rPr>
        <w:t>IT</w:t>
      </w:r>
      <w:r>
        <w:rPr>
          <w:spacing w:val="-13"/>
          <w:w w:val="105"/>
        </w:rPr>
        <w:t> </w:t>
      </w:r>
      <w:r>
        <w:rPr>
          <w:w w:val="105"/>
        </w:rPr>
        <w:t>strategy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$2.1B</w:t>
      </w:r>
      <w:r>
        <w:rPr>
          <w:spacing w:val="-13"/>
          <w:w w:val="105"/>
        </w:rPr>
        <w:t> </w:t>
      </w:r>
      <w:r>
        <w:rPr>
          <w:w w:val="105"/>
        </w:rPr>
        <w:t>industrial</w:t>
      </w:r>
      <w:r>
        <w:rPr>
          <w:spacing w:val="-13"/>
          <w:w w:val="105"/>
        </w:rPr>
        <w:t> </w:t>
      </w:r>
      <w:r>
        <w:rPr>
          <w:w w:val="105"/>
        </w:rPr>
        <w:t>manufacturer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23</w:t>
      </w:r>
      <w:r>
        <w:rPr>
          <w:spacing w:val="-12"/>
          <w:w w:val="105"/>
        </w:rPr>
        <w:t> </w:t>
      </w:r>
      <w:r>
        <w:rPr>
          <w:w w:val="105"/>
        </w:rPr>
        <w:t>plants</w:t>
      </w:r>
      <w:r>
        <w:rPr>
          <w:spacing w:val="-13"/>
          <w:w w:val="105"/>
        </w:rPr>
        <w:t> </w:t>
      </w:r>
      <w:r>
        <w:rPr>
          <w:w w:val="105"/>
        </w:rPr>
        <w:t>across North America, EMEA, and APAC.</w:t>
      </w:r>
    </w:p>
    <w:p>
      <w:pPr>
        <w:pStyle w:val="BodyText"/>
        <w:spacing w:line="261" w:lineRule="auto" w:before="88"/>
        <w:ind w:left="139" w:right="92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3295649</wp:posOffset>
                </wp:positionH>
                <wp:positionV relativeFrom="paragraph">
                  <wp:posOffset>-236485</wp:posOffset>
                </wp:positionV>
                <wp:extent cx="47625" cy="4762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6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2" y="47026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-18.620920pt;width:3.75pt;height:3.75pt;mso-position-horizontal-relative:page;mso-position-vertical-relative:paragraph;z-index:15729664" id="docshape3" coordorigin="5190,-372" coordsize="75,75" path="m5233,-297l5222,-297,5217,-298,5190,-330,5190,-335,5190,-340,5222,-372,5233,-372,5265,-340,5265,-330,5238,-298,5233,-297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3295649</wp:posOffset>
                </wp:positionH>
                <wp:positionV relativeFrom="paragraph">
                  <wp:posOffset>106414</wp:posOffset>
                </wp:positionV>
                <wp:extent cx="47625" cy="4762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5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2" y="47025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8.379078pt;width:3.75pt;height:3.75pt;mso-position-horizontal-relative:page;mso-position-vertical-relative:paragraph;z-index:15730176" id="docshape4" coordorigin="5190,168" coordsize="75,75" path="m5233,243l5222,243,5217,242,5190,210,5190,205,5190,200,5222,168,5233,168,5265,200,5265,210,5238,242,5233,243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>
          <w:w w:val="105"/>
        </w:rPr>
        <w:t>Led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consolidation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6</w:t>
      </w:r>
      <w:r>
        <w:rPr>
          <w:spacing w:val="-12"/>
          <w:w w:val="105"/>
        </w:rPr>
        <w:t> </w:t>
      </w:r>
      <w:r>
        <w:rPr>
          <w:w w:val="105"/>
        </w:rPr>
        <w:t>legacy</w:t>
      </w:r>
      <w:r>
        <w:rPr>
          <w:spacing w:val="-12"/>
          <w:w w:val="105"/>
        </w:rPr>
        <w:t> </w:t>
      </w:r>
      <w:r>
        <w:rPr>
          <w:w w:val="105"/>
        </w:rPr>
        <w:t>ERP</w:t>
      </w:r>
      <w:r>
        <w:rPr>
          <w:spacing w:val="-14"/>
          <w:w w:val="105"/>
        </w:rPr>
        <w:t> </w:t>
      </w:r>
      <w:r>
        <w:rPr>
          <w:w w:val="105"/>
        </w:rPr>
        <w:t>instances</w:t>
      </w:r>
      <w:r>
        <w:rPr>
          <w:spacing w:val="-11"/>
          <w:w w:val="105"/>
        </w:rPr>
        <w:t> </w:t>
      </w:r>
      <w:r>
        <w:rPr>
          <w:w w:val="105"/>
        </w:rPr>
        <w:t>onto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single</w:t>
      </w:r>
      <w:r>
        <w:rPr>
          <w:spacing w:val="-12"/>
          <w:w w:val="105"/>
        </w:rPr>
        <w:t> </w:t>
      </w:r>
      <w:r>
        <w:rPr>
          <w:w w:val="105"/>
        </w:rPr>
        <w:t>SAP S/4HANA</w:t>
      </w:r>
      <w:r>
        <w:rPr>
          <w:spacing w:val="-14"/>
          <w:w w:val="105"/>
        </w:rPr>
        <w:t> </w:t>
      </w:r>
      <w:r>
        <w:rPr>
          <w:w w:val="105"/>
        </w:rPr>
        <w:t>tenant;</w:t>
      </w:r>
      <w:r>
        <w:rPr>
          <w:spacing w:val="-13"/>
          <w:w w:val="105"/>
        </w:rPr>
        <w:t> </w:t>
      </w:r>
      <w:r>
        <w:rPr>
          <w:w w:val="105"/>
        </w:rPr>
        <w:t>program</w:t>
      </w:r>
      <w:r>
        <w:rPr>
          <w:spacing w:val="-13"/>
          <w:w w:val="105"/>
        </w:rPr>
        <w:t> </w:t>
      </w:r>
      <w:r>
        <w:rPr>
          <w:w w:val="105"/>
        </w:rPr>
        <w:t>delivered</w:t>
      </w:r>
      <w:r>
        <w:rPr>
          <w:spacing w:val="-13"/>
          <w:w w:val="105"/>
        </w:rPr>
        <w:t> </w:t>
      </w:r>
      <w:r>
        <w:rPr>
          <w:w w:val="105"/>
        </w:rPr>
        <w:t>$18.6M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annualized</w:t>
      </w:r>
      <w:r>
        <w:rPr>
          <w:spacing w:val="-13"/>
          <w:w w:val="105"/>
        </w:rPr>
        <w:t> </w:t>
      </w:r>
      <w:r>
        <w:rPr>
          <w:w w:val="105"/>
        </w:rPr>
        <w:t>run-rate savings by year three.</w:t>
      </w:r>
    </w:p>
    <w:p>
      <w:pPr>
        <w:pStyle w:val="BodyText"/>
        <w:spacing w:line="261" w:lineRule="auto" w:before="104"/>
        <w:ind w:left="139" w:right="37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3295649</wp:posOffset>
                </wp:positionH>
                <wp:positionV relativeFrom="paragraph">
                  <wp:posOffset>116045</wp:posOffset>
                </wp:positionV>
                <wp:extent cx="47625" cy="381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7625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38100">
                              <a:moveTo>
                                <a:pt x="31101" y="38099"/>
                              </a:moveTo>
                              <a:lnTo>
                                <a:pt x="16523" y="38099"/>
                              </a:lnTo>
                              <a:lnTo>
                                <a:pt x="14093" y="37616"/>
                              </a:lnTo>
                              <a:lnTo>
                                <a:pt x="0" y="21575"/>
                              </a:lnTo>
                              <a:lnTo>
                                <a:pt x="0" y="19049"/>
                              </a:lnTo>
                              <a:lnTo>
                                <a:pt x="0" y="16523"/>
                              </a:lnTo>
                              <a:lnTo>
                                <a:pt x="16523" y="0"/>
                              </a:lnTo>
                              <a:lnTo>
                                <a:pt x="31101" y="0"/>
                              </a:lnTo>
                              <a:lnTo>
                                <a:pt x="47624" y="16523"/>
                              </a:lnTo>
                              <a:lnTo>
                                <a:pt x="47624" y="21575"/>
                              </a:lnTo>
                              <a:lnTo>
                                <a:pt x="33531" y="37616"/>
                              </a:lnTo>
                              <a:lnTo>
                                <a:pt x="31101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9.137449pt;width:3.75pt;height:3pt;mso-position-horizontal-relative:page;mso-position-vertical-relative:paragraph;z-index:15730688" id="docshape5" coordorigin="5190,183" coordsize="75,60" path="m5239,243l5216,243,5212,242,5190,217,5190,213,5190,209,5216,183,5239,183,5265,209,5265,217,5243,242,5239,243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>
          <w:w w:val="105"/>
        </w:rPr>
        <w:t>Stood</w:t>
      </w:r>
      <w:r>
        <w:rPr>
          <w:spacing w:val="-10"/>
          <w:w w:val="105"/>
        </w:rPr>
        <w:t> </w:t>
      </w:r>
      <w:r>
        <w:rPr>
          <w:w w:val="105"/>
        </w:rPr>
        <w:t>up</w:t>
      </w:r>
      <w:r>
        <w:rPr>
          <w:spacing w:val="-10"/>
          <w:w w:val="105"/>
        </w:rPr>
        <w:t> </w:t>
      </w:r>
      <w:r>
        <w:rPr>
          <w:w w:val="105"/>
        </w:rPr>
        <w:t>an</w:t>
      </w:r>
      <w:r>
        <w:rPr>
          <w:spacing w:val="-10"/>
          <w:w w:val="105"/>
        </w:rPr>
        <w:t> </w:t>
      </w:r>
      <w:r>
        <w:rPr>
          <w:w w:val="105"/>
        </w:rPr>
        <w:t>OT/IT</w:t>
      </w:r>
      <w:r>
        <w:rPr>
          <w:spacing w:val="-13"/>
          <w:w w:val="105"/>
        </w:rPr>
        <w:t> </w:t>
      </w:r>
      <w:r>
        <w:rPr>
          <w:w w:val="105"/>
        </w:rPr>
        <w:t>security</w:t>
      </w:r>
      <w:r>
        <w:rPr>
          <w:spacing w:val="-10"/>
          <w:w w:val="105"/>
        </w:rPr>
        <w:t> </w:t>
      </w:r>
      <w:r>
        <w:rPr>
          <w:w w:val="105"/>
        </w:rPr>
        <w:t>program</w:t>
      </w:r>
      <w:r>
        <w:rPr>
          <w:spacing w:val="-10"/>
          <w:w w:val="105"/>
        </w:rPr>
        <w:t> </w:t>
      </w:r>
      <w:r>
        <w:rPr>
          <w:w w:val="105"/>
        </w:rPr>
        <w:t>after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peer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industry</w:t>
      </w:r>
      <w:r>
        <w:rPr>
          <w:spacing w:val="-10"/>
          <w:w w:val="105"/>
        </w:rPr>
        <w:t> </w:t>
      </w:r>
      <w:r>
        <w:rPr>
          <w:w w:val="105"/>
        </w:rPr>
        <w:t>was</w:t>
      </w:r>
      <w:r>
        <w:rPr>
          <w:spacing w:val="-10"/>
          <w:w w:val="105"/>
        </w:rPr>
        <w:t> </w:t>
      </w:r>
      <w:r>
        <w:rPr>
          <w:w w:val="105"/>
        </w:rPr>
        <w:t>hit</w:t>
      </w:r>
      <w:r>
        <w:rPr>
          <w:spacing w:val="-10"/>
          <w:w w:val="105"/>
        </w:rPr>
        <w:t> </w:t>
      </w:r>
      <w:r>
        <w:rPr>
          <w:w w:val="105"/>
        </w:rPr>
        <w:t>by NotPetya-style</w:t>
      </w:r>
      <w:r>
        <w:rPr>
          <w:spacing w:val="-14"/>
          <w:w w:val="105"/>
        </w:rPr>
        <w:t> </w:t>
      </w:r>
      <w:r>
        <w:rPr>
          <w:w w:val="105"/>
        </w:rPr>
        <w:t>malware;</w:t>
      </w:r>
      <w:r>
        <w:rPr>
          <w:spacing w:val="-13"/>
          <w:w w:val="105"/>
        </w:rPr>
        <w:t> </w:t>
      </w:r>
      <w:r>
        <w:rPr>
          <w:w w:val="105"/>
        </w:rPr>
        <w:t>reduced</w:t>
      </w:r>
      <w:r>
        <w:rPr>
          <w:spacing w:val="-13"/>
          <w:w w:val="105"/>
        </w:rPr>
        <w:t> </w:t>
      </w:r>
      <w:r>
        <w:rPr>
          <w:w w:val="105"/>
        </w:rPr>
        <w:t>unpatched</w:t>
      </w:r>
      <w:r>
        <w:rPr>
          <w:spacing w:val="-13"/>
          <w:w w:val="105"/>
        </w:rPr>
        <w:t> </w:t>
      </w:r>
      <w:r>
        <w:rPr>
          <w:w w:val="105"/>
        </w:rPr>
        <w:t>plant</w:t>
      </w:r>
      <w:r>
        <w:rPr>
          <w:spacing w:val="-13"/>
          <w:w w:val="105"/>
        </w:rPr>
        <w:t> </w:t>
      </w:r>
      <w:r>
        <w:rPr>
          <w:w w:val="105"/>
        </w:rPr>
        <w:t>endpoints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38%</w:t>
      </w:r>
      <w:r>
        <w:rPr>
          <w:spacing w:val="-14"/>
          <w:w w:val="105"/>
        </w:rPr>
        <w:t> </w:t>
      </w:r>
      <w:r>
        <w:rPr>
          <w:w w:val="105"/>
        </w:rPr>
        <w:t>to under 4% in 14 months.</w:t>
      </w:r>
    </w:p>
    <w:p>
      <w:pPr>
        <w:pStyle w:val="BodyText"/>
        <w:spacing w:line="261" w:lineRule="auto" w:before="88"/>
        <w:ind w:left="139" w:right="39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3295649</wp:posOffset>
                </wp:positionH>
                <wp:positionV relativeFrom="paragraph">
                  <wp:posOffset>105991</wp:posOffset>
                </wp:positionV>
                <wp:extent cx="47625" cy="4762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5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2" y="47025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8.34582pt;width:3.75pt;height:3.75pt;mso-position-horizontal-relative:page;mso-position-vertical-relative:paragraph;z-index:15731200" id="docshape6" coordorigin="5190,167" coordsize="75,75" path="m5233,242l5222,242,5217,241,5190,210,5190,205,5190,199,5222,167,5233,167,5265,199,5265,210,5238,241,5233,242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>
          <w:w w:val="105"/>
        </w:rPr>
        <w:t>Represented</w:t>
      </w:r>
      <w:r>
        <w:rPr>
          <w:spacing w:val="-14"/>
          <w:w w:val="105"/>
        </w:rPr>
        <w:t> </w:t>
      </w:r>
      <w:r>
        <w:rPr>
          <w:w w:val="105"/>
        </w:rPr>
        <w:t>IT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integration</w:t>
      </w:r>
      <w:r>
        <w:rPr>
          <w:spacing w:val="-13"/>
          <w:w w:val="105"/>
        </w:rPr>
        <w:t> </w:t>
      </w:r>
      <w:r>
        <w:rPr>
          <w:w w:val="105"/>
        </w:rPr>
        <w:t>management</w:t>
      </w:r>
      <w:r>
        <w:rPr>
          <w:spacing w:val="-13"/>
          <w:w w:val="105"/>
        </w:rPr>
        <w:t> </w:t>
      </w:r>
      <w:r>
        <w:rPr>
          <w:w w:val="105"/>
        </w:rPr>
        <w:t>ofﬁce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4"/>
          <w:w w:val="105"/>
        </w:rPr>
        <w:t> </w:t>
      </w:r>
      <w:r>
        <w:rPr>
          <w:w w:val="105"/>
        </w:rPr>
        <w:t>two</w:t>
      </w:r>
      <w:r>
        <w:rPr>
          <w:spacing w:val="-13"/>
          <w:w w:val="105"/>
        </w:rPr>
        <w:t> </w:t>
      </w:r>
      <w:r>
        <w:rPr>
          <w:w w:val="105"/>
        </w:rPr>
        <w:t>acquisitions totaling $640M in revenue; both closed Day 1 cutover on schedule.</w:t>
      </w:r>
    </w:p>
    <w:p>
      <w:pPr>
        <w:pStyle w:val="BodyText"/>
        <w:spacing w:line="261" w:lineRule="auto" w:before="89"/>
        <w:ind w:left="139" w:right="49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3295649</wp:posOffset>
                </wp:positionH>
                <wp:positionV relativeFrom="paragraph">
                  <wp:posOffset>106486</wp:posOffset>
                </wp:positionV>
                <wp:extent cx="47625" cy="4762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76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47625">
                              <a:moveTo>
                                <a:pt x="27164" y="47624"/>
                              </a:moveTo>
                              <a:lnTo>
                                <a:pt x="20461" y="47624"/>
                              </a:lnTo>
                              <a:lnTo>
                                <a:pt x="17452" y="47025"/>
                              </a:lnTo>
                              <a:lnTo>
                                <a:pt x="0" y="27163"/>
                              </a:lnTo>
                              <a:lnTo>
                                <a:pt x="0" y="24035"/>
                              </a:lnTo>
                              <a:lnTo>
                                <a:pt x="0" y="20460"/>
                              </a:lnTo>
                              <a:lnTo>
                                <a:pt x="20461" y="0"/>
                              </a:lnTo>
                              <a:lnTo>
                                <a:pt x="27164" y="0"/>
                              </a:lnTo>
                              <a:lnTo>
                                <a:pt x="47624" y="20460"/>
                              </a:lnTo>
                              <a:lnTo>
                                <a:pt x="47624" y="27163"/>
                              </a:lnTo>
                              <a:lnTo>
                                <a:pt x="30172" y="47025"/>
                              </a:lnTo>
                              <a:lnTo>
                                <a:pt x="27164" y="4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48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9.499969pt;margin-top:8.384734pt;width:3.75pt;height:3.75pt;mso-position-horizontal-relative:page;mso-position-vertical-relative:paragraph;z-index:15731712" id="docshape7" coordorigin="5190,168" coordsize="75,75" path="m5233,243l5222,243,5217,242,5190,210,5190,206,5190,200,5222,168,5233,168,5265,200,5265,210,5238,242,5233,243xe" filled="true" fillcolor="#000000" stroked="false">
                <v:path arrowok="t"/>
                <v:fill opacity="49086f" type="solid"/>
                <w10:wrap type="none"/>
              </v:shape>
            </w:pict>
          </mc:Fallback>
        </mc:AlternateContent>
      </w:r>
      <w:r>
        <w:rPr>
          <w:w w:val="105"/>
        </w:rPr>
        <w:t>Brief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audit</w:t>
      </w:r>
      <w:r>
        <w:rPr>
          <w:spacing w:val="-13"/>
          <w:w w:val="105"/>
        </w:rPr>
        <w:t> </w:t>
      </w:r>
      <w:r>
        <w:rPr>
          <w:w w:val="105"/>
        </w:rPr>
        <w:t>committee</w:t>
      </w:r>
      <w:r>
        <w:rPr>
          <w:spacing w:val="-13"/>
          <w:w w:val="105"/>
        </w:rPr>
        <w:t> </w:t>
      </w:r>
      <w:r>
        <w:rPr>
          <w:w w:val="105"/>
        </w:rPr>
        <w:t>quarterly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cyber</w:t>
      </w:r>
      <w:r>
        <w:rPr>
          <w:spacing w:val="-13"/>
          <w:w w:val="105"/>
        </w:rPr>
        <w:t> </w:t>
      </w:r>
      <w:r>
        <w:rPr>
          <w:w w:val="105"/>
        </w:rPr>
        <w:t>risk,</w:t>
      </w:r>
      <w:r>
        <w:rPr>
          <w:spacing w:val="-14"/>
          <w:w w:val="105"/>
        </w:rPr>
        <w:t> </w:t>
      </w:r>
      <w:r>
        <w:rPr>
          <w:w w:val="105"/>
        </w:rPr>
        <w:t>system</w:t>
      </w:r>
      <w:r>
        <w:rPr>
          <w:spacing w:val="-13"/>
          <w:w w:val="105"/>
        </w:rPr>
        <w:t> </w:t>
      </w:r>
      <w:r>
        <w:rPr>
          <w:w w:val="105"/>
        </w:rPr>
        <w:t>availability,</w:t>
      </w:r>
      <w:r>
        <w:rPr>
          <w:spacing w:val="-13"/>
          <w:w w:val="105"/>
        </w:rPr>
        <w:t> </w:t>
      </w:r>
      <w:r>
        <w:rPr>
          <w:w w:val="105"/>
        </w:rPr>
        <w:t>and AI use-case governance.</w:t>
      </w:r>
    </w:p>
    <w:p>
      <w:pPr>
        <w:pStyle w:val="BodyText"/>
        <w:spacing w:after="0" w:line="261" w:lineRule="auto"/>
        <w:jc w:val="both"/>
        <w:sectPr>
          <w:type w:val="continuous"/>
          <w:pgSz w:w="11920" w:h="16860"/>
          <w:pgMar w:top="0" w:bottom="0" w:left="141" w:right="0"/>
          <w:cols w:num="2" w:equalWidth="0">
            <w:col w:w="3960" w:space="1247"/>
            <w:col w:w="6572"/>
          </w:cols>
        </w:sectPr>
      </w:pPr>
    </w:p>
    <w:p>
      <w:pPr>
        <w:pStyle w:val="BodyText"/>
        <w:spacing w:before="7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8003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0" h="10706100">
                              <a:moveTo>
                                <a:pt x="28003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800349" y="0"/>
                              </a:lnTo>
                              <a:lnTo>
                                <a:pt x="28003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20.499982pt;height:842.999933pt;mso-position-horizontal-relative:page;mso-position-vertical-relative:page;z-index:-15809536" id="docshape8" filled="true" fillcolor="#134e5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36"/>
      </w:pPr>
    </w:p>
    <w:p>
      <w:pPr>
        <w:pStyle w:val="BodyText"/>
        <w:tabs>
          <w:tab w:pos="882" w:val="left" w:leader="none"/>
        </w:tabs>
        <w:spacing w:line="261" w:lineRule="auto"/>
        <w:ind w:left="882" w:right="575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B.E.,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Electronics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Engineering, </w:t>
      </w:r>
      <w:r>
        <w:rPr>
          <w:color w:val="FFFFFF"/>
          <w:w w:val="105"/>
        </w:rPr>
        <w:t>University of Mumbai, 2004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3"/>
      </w:pPr>
    </w:p>
    <w:p>
      <w:pPr>
        <w:pStyle w:val="BodyText"/>
        <w:tabs>
          <w:tab w:pos="882" w:val="left" w:leader="none"/>
        </w:tabs>
        <w:spacing w:line="261" w:lineRule="auto"/>
        <w:ind w:left="882" w:right="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05"/>
        </w:rPr>
        <w:t>Certiﬁed Information Systems </w:t>
      </w:r>
      <w:r>
        <w:rPr>
          <w:color w:val="FFFFFF"/>
          <w:spacing w:val="-2"/>
          <w:w w:val="105"/>
        </w:rPr>
        <w:t>Security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Professional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(CISSP),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2013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9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14"/>
        <w:rPr>
          <w:sz w:val="24"/>
        </w:rPr>
      </w:pPr>
    </w:p>
    <w:p>
      <w:pPr>
        <w:pStyle w:val="BodyText"/>
        <w:tabs>
          <w:tab w:pos="882" w:val="left" w:leader="none"/>
        </w:tabs>
        <w:spacing w:before="1"/>
        <w:ind w:left="57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Global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IT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operating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model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design</w:t>
      </w:r>
    </w:p>
    <w:p>
      <w:pPr>
        <w:pStyle w:val="BodyText"/>
        <w:tabs>
          <w:tab w:pos="882" w:val="left" w:leader="none"/>
        </w:tabs>
        <w:spacing w:before="123"/>
        <w:ind w:left="578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color w:val="FFFFFF"/>
        </w:rPr>
        <w:t>SAP</w:t>
      </w:r>
      <w:r>
        <w:rPr>
          <w:color w:val="FFFFFF"/>
          <w:spacing w:val="9"/>
        </w:rPr>
        <w:t> </w:t>
      </w:r>
      <w:r>
        <w:rPr>
          <w:color w:val="FFFFFF"/>
        </w:rPr>
        <w:t>S/4HANA and</w:t>
      </w:r>
      <w:r>
        <w:rPr>
          <w:color w:val="FFFFFF"/>
          <w:spacing w:val="13"/>
        </w:rPr>
        <w:t> </w:t>
      </w:r>
      <w:r>
        <w:rPr>
          <w:color w:val="FFFFFF"/>
          <w:spacing w:val="-5"/>
        </w:rPr>
        <w:t>ERP</w:t>
      </w:r>
    </w:p>
    <w:p>
      <w:pPr>
        <w:pStyle w:val="BodyText"/>
        <w:spacing w:before="18"/>
        <w:ind w:left="882"/>
      </w:pPr>
      <w:r>
        <w:rPr>
          <w:color w:val="FFFFFF"/>
          <w:spacing w:val="-2"/>
          <w:w w:val="105"/>
        </w:rPr>
        <w:t>consolidation</w:t>
      </w:r>
    </w:p>
    <w:p>
      <w:pPr>
        <w:pStyle w:val="BodyText"/>
        <w:tabs>
          <w:tab w:pos="882" w:val="left" w:leader="none"/>
        </w:tabs>
        <w:spacing w:line="261" w:lineRule="auto" w:before="108"/>
        <w:ind w:left="882" w:right="629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OT/IT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convergence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plant cybersecurity</w:t>
      </w:r>
    </w:p>
    <w:p>
      <w:pPr>
        <w:pStyle w:val="BodyText"/>
        <w:tabs>
          <w:tab w:pos="882" w:val="left" w:leader="none"/>
        </w:tabs>
        <w:spacing w:line="261" w:lineRule="auto" w:before="88"/>
        <w:ind w:left="882" w:right="419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M&amp;A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integration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(Day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1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cutover, </w:t>
      </w:r>
      <w:r>
        <w:rPr>
          <w:color w:val="FFFFFF"/>
          <w:spacing w:val="-4"/>
          <w:w w:val="105"/>
        </w:rPr>
        <w:t>TSAs)</w:t>
      </w:r>
    </w:p>
    <w:p>
      <w:pPr>
        <w:pStyle w:val="BodyText"/>
        <w:tabs>
          <w:tab w:pos="882" w:val="left" w:leader="none"/>
        </w:tabs>
        <w:spacing w:before="89"/>
        <w:ind w:left="57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</w:rPr>
        <w:t>Cloud</w:t>
      </w:r>
      <w:r>
        <w:rPr>
          <w:color w:val="FFFFFF"/>
          <w:spacing w:val="13"/>
        </w:rPr>
        <w:t> </w:t>
      </w:r>
      <w:r>
        <w:rPr>
          <w:color w:val="FFFFFF"/>
        </w:rPr>
        <w:t>strategy</w:t>
      </w:r>
      <w:r>
        <w:rPr>
          <w:color w:val="FFFFFF"/>
          <w:spacing w:val="13"/>
        </w:rPr>
        <w:t> </w:t>
      </w:r>
      <w:r>
        <w:rPr>
          <w:color w:val="FFFFFF"/>
        </w:rPr>
        <w:t>(Azure, </w:t>
      </w:r>
      <w:r>
        <w:rPr>
          <w:color w:val="FFFFFF"/>
          <w:spacing w:val="-4"/>
        </w:rPr>
        <w:t>AWS)</w:t>
      </w:r>
    </w:p>
    <w:p>
      <w:pPr>
        <w:pStyle w:val="BodyText"/>
        <w:tabs>
          <w:tab w:pos="882" w:val="left" w:leader="none"/>
        </w:tabs>
        <w:spacing w:line="261" w:lineRule="auto" w:before="108"/>
        <w:ind w:left="882" w:right="68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color w:val="FFFFFF"/>
          <w:spacing w:val="-2"/>
          <w:w w:val="105"/>
        </w:rPr>
        <w:t>Data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analytics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platforms </w:t>
      </w:r>
      <w:r>
        <w:rPr>
          <w:color w:val="FFFFFF"/>
          <w:w w:val="105"/>
        </w:rPr>
        <w:t>(Snowﬂake, Databricks)</w:t>
      </w:r>
    </w:p>
    <w:p>
      <w:pPr>
        <w:pStyle w:val="BodyText"/>
        <w:tabs>
          <w:tab w:pos="882" w:val="left" w:leader="none"/>
        </w:tabs>
        <w:spacing w:before="104"/>
        <w:ind w:left="578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color w:val="FFFFFF"/>
        </w:rPr>
        <w:t>Enterprise</w:t>
      </w:r>
      <w:r>
        <w:rPr>
          <w:color w:val="FFFFFF"/>
          <w:spacing w:val="14"/>
        </w:rPr>
        <w:t> </w:t>
      </w:r>
      <w:r>
        <w:rPr>
          <w:color w:val="FFFFFF"/>
        </w:rPr>
        <w:t>architecture</w:t>
      </w:r>
      <w:r>
        <w:rPr>
          <w:color w:val="FFFFFF"/>
          <w:spacing w:val="15"/>
        </w:rPr>
        <w:t> </w:t>
      </w:r>
      <w:r>
        <w:rPr>
          <w:color w:val="FFFFFF"/>
        </w:rPr>
        <w:t>and</w:t>
      </w:r>
      <w:r>
        <w:rPr>
          <w:color w:val="FFFFFF"/>
          <w:spacing w:val="10"/>
        </w:rPr>
        <w:t> </w:t>
      </w:r>
      <w:r>
        <w:rPr>
          <w:color w:val="FFFFFF"/>
          <w:spacing w:val="-2"/>
        </w:rPr>
        <w:t>TOGAF</w:t>
      </w:r>
    </w:p>
    <w:p>
      <w:pPr>
        <w:pStyle w:val="BodyText"/>
        <w:tabs>
          <w:tab w:pos="882" w:val="left" w:leader="none"/>
        </w:tabs>
        <w:spacing w:line="261" w:lineRule="auto" w:before="108"/>
        <w:ind w:left="882" w:right="812" w:hanging="304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Audit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committee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board engagement</w:t>
      </w:r>
    </w:p>
    <w:p>
      <w:pPr>
        <w:pStyle w:val="BodyText"/>
        <w:tabs>
          <w:tab w:pos="882" w:val="left" w:leader="none"/>
        </w:tabs>
        <w:spacing w:line="261" w:lineRule="auto" w:before="89"/>
        <w:ind w:left="882" w:right="156" w:hanging="304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Multi-region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team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leadership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(400+ staff)</w:t>
      </w:r>
    </w:p>
    <w:p>
      <w:pPr>
        <w:pStyle w:val="BodyText"/>
        <w:spacing w:line="261" w:lineRule="auto" w:before="75"/>
        <w:ind w:left="139" w:right="2923"/>
      </w:pPr>
      <w:r>
        <w:rPr/>
        <w:br w:type="column"/>
      </w:r>
      <w:r>
        <w:rPr>
          <w:w w:val="105"/>
        </w:rPr>
        <w:t>Vice President, Global IT | 2015 - 2020 </w:t>
      </w:r>
      <w:r>
        <w:rPr>
          <w:spacing w:val="-2"/>
          <w:w w:val="105"/>
        </w:rPr>
        <w:t>Northpoint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Consumer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Brands,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Cincinnati,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OH</w:t>
      </w:r>
    </w:p>
    <w:p>
      <w:pPr>
        <w:pStyle w:val="BodyText"/>
        <w:spacing w:before="46"/>
      </w:pPr>
    </w:p>
    <w:p>
      <w:pPr>
        <w:pStyle w:val="BodyText"/>
        <w:tabs>
          <w:tab w:pos="715" w:val="left" w:leader="none"/>
        </w:tabs>
        <w:spacing w:line="261" w:lineRule="auto" w:before="1"/>
        <w:ind w:left="715" w:right="936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Promoted</w:t>
      </w:r>
      <w:r>
        <w:rPr>
          <w:spacing w:val="-14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Senior</w:t>
      </w:r>
      <w:r>
        <w:rPr>
          <w:spacing w:val="-13"/>
          <w:w w:val="105"/>
        </w:rPr>
        <w:t> </w:t>
      </w:r>
      <w:r>
        <w:rPr>
          <w:w w:val="105"/>
        </w:rPr>
        <w:t>Director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VP</w:t>
      </w:r>
      <w:r>
        <w:rPr>
          <w:spacing w:val="-13"/>
          <w:w w:val="105"/>
        </w:rPr>
        <w:t> </w:t>
      </w:r>
      <w:r>
        <w:rPr>
          <w:w w:val="105"/>
        </w:rPr>
        <w:t>after</w:t>
      </w:r>
      <w:r>
        <w:rPr>
          <w:spacing w:val="-13"/>
          <w:w w:val="105"/>
        </w:rPr>
        <w:t> </w:t>
      </w:r>
      <w:r>
        <w:rPr>
          <w:w w:val="105"/>
        </w:rPr>
        <w:t>leading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e-commerce </w:t>
      </w:r>
      <w:r>
        <w:rPr>
          <w:spacing w:val="-2"/>
          <w:w w:val="105"/>
        </w:rPr>
        <w:t>replatform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that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supported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67%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lift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direct-to-consumer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revenue.</w:t>
      </w:r>
    </w:p>
    <w:p>
      <w:pPr>
        <w:pStyle w:val="BodyText"/>
        <w:tabs>
          <w:tab w:pos="715" w:val="left" w:leader="none"/>
        </w:tabs>
        <w:spacing w:line="261" w:lineRule="auto" w:before="88"/>
        <w:ind w:left="715" w:right="1107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Managed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$34M</w:t>
      </w:r>
      <w:r>
        <w:rPr>
          <w:spacing w:val="-13"/>
          <w:w w:val="105"/>
        </w:rPr>
        <w:t> </w:t>
      </w:r>
      <w:r>
        <w:rPr>
          <w:w w:val="105"/>
        </w:rPr>
        <w:t>discretionary</w:t>
      </w:r>
      <w:r>
        <w:rPr>
          <w:spacing w:val="-13"/>
          <w:w w:val="105"/>
        </w:rPr>
        <w:t> </w:t>
      </w:r>
      <w:r>
        <w:rPr>
          <w:w w:val="105"/>
        </w:rPr>
        <w:t>budget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team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210</w:t>
      </w:r>
      <w:r>
        <w:rPr>
          <w:spacing w:val="-13"/>
          <w:w w:val="105"/>
        </w:rPr>
        <w:t> </w:t>
      </w:r>
      <w:r>
        <w:rPr>
          <w:w w:val="105"/>
        </w:rPr>
        <w:t>across application, infrastructure, and analytics.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370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Rolled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out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Microsoft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365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Teams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11,000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employees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during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early </w:t>
      </w:r>
      <w:r>
        <w:rPr>
          <w:w w:val="105"/>
        </w:rPr>
        <w:t>COVID period without a single major outage.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446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Launched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ﬁrst</w:t>
      </w:r>
      <w:r>
        <w:rPr>
          <w:spacing w:val="-13"/>
          <w:w w:val="105"/>
        </w:rPr>
        <w:t> </w:t>
      </w:r>
      <w:r>
        <w:rPr>
          <w:w w:val="105"/>
        </w:rPr>
        <w:t>centralized</w:t>
      </w:r>
      <w:r>
        <w:rPr>
          <w:spacing w:val="-13"/>
          <w:w w:val="105"/>
        </w:rPr>
        <w:t> </w:t>
      </w:r>
      <w:r>
        <w:rPr>
          <w:w w:val="105"/>
        </w:rPr>
        <w:t>data</w:t>
      </w:r>
      <w:r>
        <w:rPr>
          <w:spacing w:val="-13"/>
          <w:w w:val="105"/>
        </w:rPr>
        <w:t> </w:t>
      </w:r>
      <w:r>
        <w:rPr>
          <w:w w:val="105"/>
        </w:rPr>
        <w:t>warehouse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Snowﬂake,</w:t>
      </w:r>
      <w:r>
        <w:rPr>
          <w:spacing w:val="-14"/>
          <w:w w:val="105"/>
        </w:rPr>
        <w:t> </w:t>
      </w:r>
      <w:r>
        <w:rPr>
          <w:w w:val="105"/>
        </w:rPr>
        <w:t>replacing</w:t>
      </w:r>
      <w:r>
        <w:rPr>
          <w:spacing w:val="-13"/>
          <w:w w:val="105"/>
        </w:rPr>
        <w:t> </w:t>
      </w:r>
      <w:r>
        <w:rPr>
          <w:w w:val="105"/>
        </w:rPr>
        <w:t>9 disconnected BI environments.</w:t>
      </w:r>
    </w:p>
    <w:p>
      <w:pPr>
        <w:pStyle w:val="BodyText"/>
        <w:spacing w:before="2"/>
      </w:pPr>
    </w:p>
    <w:p>
      <w:pPr>
        <w:pStyle w:val="BodyText"/>
        <w:spacing w:line="261" w:lineRule="auto"/>
        <w:ind w:left="139" w:right="1314"/>
      </w:pPr>
      <w:r>
        <w:rPr>
          <w:spacing w:val="-2"/>
          <w:w w:val="105"/>
        </w:rPr>
        <w:t>Senior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Director,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Infrastructure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Operations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2011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2015 </w:t>
      </w:r>
      <w:r>
        <w:rPr>
          <w:w w:val="105"/>
        </w:rPr>
        <w:t>Northpoint Consumer Brands, Cincinnati, OH</w:t>
      </w:r>
    </w:p>
    <w:p>
      <w:pPr>
        <w:pStyle w:val="BodyText"/>
        <w:spacing w:before="46"/>
      </w:pPr>
    </w:p>
    <w:p>
      <w:pPr>
        <w:pStyle w:val="BodyText"/>
        <w:tabs>
          <w:tab w:pos="715" w:val="left" w:leader="none"/>
        </w:tabs>
        <w:spacing w:line="261" w:lineRule="auto" w:before="1"/>
        <w:ind w:left="715" w:right="1294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Ran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95-person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global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infrastructure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team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across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networking, </w:t>
      </w:r>
      <w:r>
        <w:rPr>
          <w:w w:val="105"/>
        </w:rPr>
        <w:t>datacenter, and end-user computing.</w:t>
      </w:r>
    </w:p>
    <w:p>
      <w:pPr>
        <w:pStyle w:val="BodyText"/>
        <w:tabs>
          <w:tab w:pos="715" w:val="left" w:leader="none"/>
        </w:tabs>
        <w:spacing w:line="261" w:lineRule="auto" w:before="103"/>
        <w:ind w:left="715" w:right="467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Closed</w:t>
      </w:r>
      <w:r>
        <w:rPr>
          <w:spacing w:val="-13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w w:val="105"/>
        </w:rPr>
        <w:t>owned</w:t>
      </w:r>
      <w:r>
        <w:rPr>
          <w:spacing w:val="-13"/>
          <w:w w:val="105"/>
        </w:rPr>
        <w:t> </w:t>
      </w:r>
      <w:r>
        <w:rPr>
          <w:w w:val="105"/>
        </w:rPr>
        <w:t>datacenters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moving</w:t>
      </w:r>
      <w:r>
        <w:rPr>
          <w:spacing w:val="-13"/>
          <w:w w:val="105"/>
        </w:rPr>
        <w:t> </w:t>
      </w:r>
      <w:r>
        <w:rPr>
          <w:w w:val="105"/>
        </w:rPr>
        <w:t>workloads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colocation</w:t>
      </w:r>
      <w:r>
        <w:rPr>
          <w:spacing w:val="-13"/>
          <w:w w:val="105"/>
        </w:rPr>
        <w:t> </w:t>
      </w:r>
      <w:r>
        <w:rPr>
          <w:w w:val="105"/>
        </w:rPr>
        <w:t>and early</w:t>
      </w:r>
      <w:r>
        <w:rPr>
          <w:spacing w:val="-6"/>
          <w:w w:val="105"/>
        </w:rPr>
        <w:t> </w:t>
      </w:r>
      <w:r>
        <w:rPr>
          <w:w w:val="105"/>
        </w:rPr>
        <w:t>Azure footprint; saved roughly $7.2M annually.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406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Authored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ﬁrst</w:t>
      </w:r>
      <w:r>
        <w:rPr>
          <w:spacing w:val="-13"/>
          <w:w w:val="105"/>
        </w:rPr>
        <w:t> </w:t>
      </w:r>
      <w:r>
        <w:rPr>
          <w:w w:val="105"/>
        </w:rPr>
        <w:t>formal</w:t>
      </w:r>
      <w:r>
        <w:rPr>
          <w:spacing w:val="-13"/>
          <w:w w:val="105"/>
        </w:rPr>
        <w:t> </w:t>
      </w:r>
      <w:r>
        <w:rPr>
          <w:w w:val="105"/>
        </w:rPr>
        <w:t>IT</w:t>
      </w:r>
      <w:r>
        <w:rPr>
          <w:spacing w:val="-13"/>
          <w:w w:val="105"/>
        </w:rPr>
        <w:t> </w:t>
      </w:r>
      <w:r>
        <w:rPr>
          <w:w w:val="105"/>
        </w:rPr>
        <w:t>disaster</w:t>
      </w:r>
      <w:r>
        <w:rPr>
          <w:spacing w:val="-13"/>
          <w:w w:val="105"/>
        </w:rPr>
        <w:t> </w:t>
      </w:r>
      <w:r>
        <w:rPr>
          <w:w w:val="105"/>
        </w:rPr>
        <w:t>recovery</w:t>
      </w:r>
      <w:r>
        <w:rPr>
          <w:spacing w:val="-13"/>
          <w:w w:val="105"/>
        </w:rPr>
        <w:t> </w:t>
      </w:r>
      <w:r>
        <w:rPr>
          <w:w w:val="105"/>
        </w:rPr>
        <w:t>program;</w:t>
      </w:r>
      <w:r>
        <w:rPr>
          <w:spacing w:val="-14"/>
          <w:w w:val="105"/>
        </w:rPr>
        <w:t> </w:t>
      </w:r>
      <w:r>
        <w:rPr>
          <w:w w:val="105"/>
        </w:rPr>
        <w:t>cut</w:t>
      </w:r>
      <w:r>
        <w:rPr>
          <w:spacing w:val="-13"/>
          <w:w w:val="105"/>
        </w:rPr>
        <w:t> </w:t>
      </w:r>
      <w:r>
        <w:rPr>
          <w:w w:val="105"/>
        </w:rPr>
        <w:t>tested</w:t>
      </w:r>
      <w:r>
        <w:rPr>
          <w:spacing w:val="-13"/>
          <w:w w:val="105"/>
        </w:rPr>
        <w:t> </w:t>
      </w:r>
      <w:r>
        <w:rPr>
          <w:w w:val="105"/>
        </w:rPr>
        <w:t>RTO</w:t>
      </w:r>
      <w:r>
        <w:rPr>
          <w:spacing w:val="-13"/>
          <w:w w:val="105"/>
        </w:rPr>
        <w:t> </w:t>
      </w:r>
      <w:r>
        <w:rPr>
          <w:w w:val="105"/>
        </w:rPr>
        <w:t>for tier-1 systems from 36 hours to 4 hours.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3919" w:space="712"/>
            <w:col w:w="7148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05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28003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0" h="10706100">
                              <a:moveTo>
                                <a:pt x="28003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800349" y="0"/>
                              </a:lnTo>
                              <a:lnTo>
                                <a:pt x="28003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4E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20.499982pt;height:842.999933pt;mso-position-horizontal-relative:page;mso-position-vertical-relative:page;z-index:-15805952" id="docshape9" filled="true" fillcolor="#134e5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BodyText"/>
        <w:tabs>
          <w:tab w:pos="882" w:val="left" w:leader="none"/>
        </w:tabs>
        <w:spacing w:line="261" w:lineRule="auto"/>
        <w:ind w:left="882" w:right="8505" w:hanging="304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Capital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operating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budget ownership</w:t>
      </w:r>
    </w:p>
    <w:sectPr>
      <w:pgSz w:w="11920" w:h="16860"/>
      <w:pgMar w:top="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priya.anand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2026-07-02T23:29:03Z</dcterms:created>
  <dcterms:modified xsi:type="dcterms:W3CDTF">2026-07-02T23:29:03Z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2026-07-02T00:00:00Z</vt:filetime>
  </property>
  <property fmtid="{D5CDD505-2E9C-101B-9397-08002B2CF9AE}" pid="5" name="Producer">
    <vt:lpwstr>pdf-merger-js</vt:lpwstr>
  </property>
</Properties>
</file>