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619" w:right="12" w:firstLine="0"/>
        <w:jc w:val="center"/>
        <w:rPr>
          <w:sz w:val="74"/>
        </w:rPr>
      </w:pPr>
      <w:r>
        <w:rPr>
          <w:b/>
          <w:color w:val="004F00"/>
          <w:spacing w:val="-14"/>
          <w:sz w:val="74"/>
        </w:rPr>
        <w:t>MAYA</w:t>
      </w:r>
      <w:r>
        <w:rPr>
          <w:b/>
          <w:color w:val="004F00"/>
          <w:spacing w:val="-35"/>
          <w:sz w:val="74"/>
        </w:rPr>
        <w:t> </w:t>
      </w:r>
      <w:r>
        <w:rPr>
          <w:color w:val="004F00"/>
          <w:spacing w:val="10"/>
          <w:sz w:val="74"/>
        </w:rPr>
        <w:t>LINDGREN</w:t>
      </w:r>
    </w:p>
    <w:p>
      <w:pPr>
        <w:pStyle w:val="Heading2"/>
      </w:pPr>
      <w:r>
        <w:rPr>
          <w:color w:val="004F00"/>
          <w:spacing w:val="-5"/>
          <w:w w:val="105"/>
        </w:rPr>
        <w:t>CPA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893" w:right="272" w:firstLine="0"/>
        <w:jc w:val="center"/>
        <w:rPr>
          <w:sz w:val="16"/>
        </w:rPr>
      </w:pPr>
      <w:r>
        <w:rPr>
          <w:color w:val="004F00"/>
          <w:w w:val="105"/>
          <w:sz w:val="16"/>
        </w:rPr>
        <w:t>Senior CPA with six years split between Big 4 audit and a private equity-backed medtech</w:t>
      </w:r>
      <w:r>
        <w:rPr>
          <w:color w:val="004F00"/>
          <w:spacing w:val="40"/>
          <w:w w:val="105"/>
          <w:sz w:val="16"/>
        </w:rPr>
        <w:t> </w:t>
      </w:r>
      <w:r>
        <w:rPr>
          <w:color w:val="004F00"/>
          <w:w w:val="105"/>
          <w:sz w:val="16"/>
        </w:rPr>
        <w:t>company. Lead workstreams independently, write the technical memos, and have walked</w:t>
      </w:r>
      <w:r>
        <w:rPr>
          <w:color w:val="004F00"/>
          <w:spacing w:val="40"/>
          <w:w w:val="105"/>
          <w:sz w:val="16"/>
        </w:rPr>
        <w:t> </w:t>
      </w:r>
      <w:r>
        <w:rPr>
          <w:color w:val="004F00"/>
          <w:w w:val="105"/>
          <w:sz w:val="16"/>
        </w:rPr>
        <w:t>auditors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through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enough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revenue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testing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to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know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where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they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will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push</w:t>
      </w:r>
      <w:r>
        <w:rPr>
          <w:color w:val="004F00"/>
          <w:spacing w:val="32"/>
          <w:w w:val="105"/>
          <w:sz w:val="16"/>
        </w:rPr>
        <w:t> </w:t>
      </w:r>
      <w:r>
        <w:rPr>
          <w:color w:val="004F00"/>
          <w:w w:val="105"/>
          <w:sz w:val="16"/>
        </w:rPr>
        <w:t>back.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296134</wp:posOffset>
                </wp:positionV>
                <wp:extent cx="4920615" cy="23812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004F00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23.317661pt;width:387.45pt;height:18.75pt;mso-position-horizontal-relative:page;mso-position-vertical-relative:paragraph;z-index:-15728640;mso-wrap-distance-left:0;mso-wrap-distance-right:0" type="#_x0000_t202" id="docshape1" filled="true" fillcolor="#004f00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before="53"/>
      </w:pPr>
      <w:r>
        <w:rPr>
          <w:smallCaps/>
          <w:color w:val="004F00"/>
          <w:w w:val="95"/>
        </w:rPr>
        <w:t>Contact</w:t>
      </w:r>
      <w:r>
        <w:rPr>
          <w:smallCaps/>
          <w:color w:val="004F00"/>
          <w:spacing w:val="-3"/>
        </w:rPr>
        <w:t> </w:t>
      </w:r>
      <w:r>
        <w:rPr>
          <w:smallCaps/>
          <w:color w:val="004F00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ind w:left="586"/>
      </w:pPr>
      <w:r>
        <w:rPr>
          <w:color w:val="FFFFFF"/>
          <w:w w:val="105"/>
        </w:rPr>
        <w:t>(612)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558-</w:t>
      </w:r>
      <w:r>
        <w:rPr>
          <w:color w:val="FFFFFF"/>
          <w:spacing w:val="-4"/>
          <w:w w:val="105"/>
        </w:rPr>
        <w:t>0471</w:t>
      </w:r>
    </w:p>
    <w:p>
      <w:pPr>
        <w:pStyle w:val="BodyText"/>
        <w:spacing w:line="268" w:lineRule="auto" w:before="150"/>
        <w:ind w:left="29" w:right="46"/>
      </w:pPr>
      <w:r>
        <w:rPr/>
        <w:br w:type="column"/>
      </w:r>
      <w:r>
        <w:rPr/>
        <w:t>SENIOR ACCOUNTANT, TECHNICAL ACCOUNTING </w:t>
      </w:r>
      <w:r>
        <w:rPr>
          <w:position w:val="2"/>
        </w:rPr>
        <w:t>| </w:t>
      </w:r>
      <w:r>
        <w:rPr/>
        <w:t>NORTHBEAM MEDTECH HOLDINGS, MINNEAPOLIS, MN</w:t>
      </w:r>
    </w:p>
    <w:p>
      <w:pPr>
        <w:pStyle w:val="BodyText"/>
        <w:spacing w:before="8"/>
        <w:ind w:left="29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  <w:spacing w:before="81"/>
      </w:pPr>
    </w:p>
    <w:p>
      <w:pPr>
        <w:pStyle w:val="BodyText"/>
        <w:spacing w:line="590" w:lineRule="auto"/>
        <w:ind w:left="586"/>
      </w:pPr>
      <w:hyperlink r:id="rId5">
        <w:r>
          <w:rPr>
            <w:color w:val="FFFFFF"/>
            <w:spacing w:val="-2"/>
          </w:rPr>
          <w:t>maya.lindgren@example.com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Minneapolis, MN 12345</w:t>
      </w:r>
    </w:p>
    <w:p>
      <w:pPr>
        <w:pStyle w:val="BodyText"/>
        <w:spacing w:before="120"/>
      </w:pPr>
    </w:p>
    <w:p>
      <w:pPr>
        <w:pStyle w:val="Heading1"/>
        <w:spacing w:before="1"/>
      </w:pPr>
      <w:r>
        <w:rPr>
          <w:smallCaps/>
          <w:color w:val="004F00"/>
        </w:rPr>
        <w:t>Key</w:t>
      </w:r>
      <w:r>
        <w:rPr>
          <w:smallCaps/>
          <w:color w:val="004F00"/>
          <w:spacing w:val="-12"/>
        </w:rPr>
        <w:t> </w:t>
      </w:r>
      <w:r>
        <w:rPr>
          <w:smallCaps/>
          <w:color w:val="004F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134" w:after="0"/>
        <w:ind w:left="326" w:right="28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Lead technical accounting reviews for acquisitions, lease modifications,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revenue contracts; authored 14 position memos in 2024 with no audit</w:t>
      </w:r>
    </w:p>
    <w:p>
      <w:pPr>
        <w:pStyle w:val="BodyText"/>
        <w:spacing w:before="25"/>
        <w:ind w:left="326"/>
      </w:pPr>
      <w:r>
        <w:rPr>
          <w:spacing w:val="-2"/>
          <w:w w:val="105"/>
        </w:rPr>
        <w:t>pushback.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0" w:after="0"/>
        <w:ind w:left="326" w:right="498" w:hanging="298"/>
        <w:jc w:val="left"/>
        <w:rPr>
          <w:sz w:val="18"/>
        </w:rPr>
      </w:pPr>
      <w:r>
        <w:rPr>
          <w:w w:val="105"/>
          <w:sz w:val="18"/>
        </w:rPr>
        <w:t>Manage the company's ASC 842 lease portfolio (76 active leases, $23.4M ROU asset) in LeaseQuery, including remeasurements and impairment</w:t>
      </w:r>
    </w:p>
    <w:p>
      <w:pPr>
        <w:pStyle w:val="BodyText"/>
        <w:spacing w:before="25"/>
        <w:ind w:left="326"/>
      </w:pPr>
      <w:r>
        <w:rPr>
          <w:spacing w:val="-2"/>
          <w:w w:val="105"/>
        </w:rPr>
        <w:t>indicators.</w:t>
      </w:r>
    </w:p>
    <w:p>
      <w:pPr>
        <w:pStyle w:val="ListParagraph"/>
        <w:numPr>
          <w:ilvl w:val="0"/>
          <w:numId w:val="1"/>
        </w:numPr>
        <w:tabs>
          <w:tab w:pos="325" w:val="left" w:leader="none"/>
        </w:tabs>
        <w:spacing w:line="334" w:lineRule="exact" w:before="51" w:after="0"/>
        <w:ind w:left="325" w:right="0" w:hanging="296"/>
        <w:jc w:val="left"/>
        <w:rPr>
          <w:sz w:val="18"/>
        </w:rPr>
      </w:pPr>
      <w:r>
        <w:rPr>
          <w:w w:val="105"/>
          <w:sz w:val="18"/>
        </w:rPr>
        <w:t>Own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goodwill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impairment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analysis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19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100" w:lineRule="exact"/>
        <w:ind w:left="326"/>
      </w:pPr>
      <w:r>
        <w:rPr>
          <w:w w:val="105"/>
        </w:rPr>
        <w:t>present</w:t>
      </w:r>
      <w:r>
        <w:rPr>
          <w:spacing w:val="15"/>
          <w:w w:val="105"/>
        </w:rPr>
        <w:t> </w:t>
      </w:r>
      <w:r>
        <w:rPr>
          <w:w w:val="105"/>
        </w:rPr>
        <w:t>results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controller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external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auditors.</w:t>
      </w:r>
    </w:p>
    <w:p>
      <w:pPr>
        <w:pStyle w:val="BodyText"/>
        <w:spacing w:after="0" w:line="100" w:lineRule="exact"/>
        <w:sectPr>
          <w:type w:val="continuous"/>
          <w:pgSz w:w="11920" w:h="16860"/>
          <w:pgMar w:top="0" w:bottom="0" w:left="566" w:right="0"/>
          <w:cols w:num="2" w:equalWidth="0">
            <w:col w:w="3138" w:space="991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4" w:lineRule="auto" w:before="35" w:after="0"/>
        <w:ind w:left="475" w:right="977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ASC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805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business </w:t>
      </w:r>
      <w:r>
        <w:rPr>
          <w:color w:val="FFFFFF"/>
          <w:spacing w:val="-2"/>
          <w:w w:val="105"/>
          <w:sz w:val="18"/>
        </w:rPr>
        <w:t>combinations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57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842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lease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23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ASC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606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revenue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recognition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272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Goodwill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impairment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159" w:after="0"/>
        <w:ind w:left="475" w:right="28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Partnered with FP&amp;A on purchase accounting for a $31M tuck-in acquisition, including opening balance sheet and valuation tie-outs.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365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 two staff accountants on close tasks and review their reconciliations before they hit the controller.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041" w:space="939"/>
            <w:col w:w="7374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37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Technical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accounting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memos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166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LeaseQuery,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Oracle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NetSuite</w:t>
      </w:r>
    </w:p>
    <w:p>
      <w:pPr>
        <w:pStyle w:val="BodyText"/>
        <w:spacing w:line="205" w:lineRule="exact"/>
        <w:ind w:left="177"/>
      </w:pPr>
      <w:r>
        <w:rPr/>
        <w:br w:type="column"/>
      </w:r>
      <w:r>
        <w:rPr/>
        <w:t>AUDIT</w:t>
      </w:r>
      <w:r>
        <w:rPr>
          <w:spacing w:val="15"/>
        </w:rPr>
        <w:t> </w:t>
      </w:r>
      <w:r>
        <w:rPr/>
        <w:t>SENIOR</w:t>
      </w:r>
      <w:r>
        <w:rPr>
          <w:spacing w:val="16"/>
        </w:rPr>
        <w:t> </w:t>
      </w:r>
      <w:r>
        <w:rPr>
          <w:position w:val="2"/>
        </w:rPr>
        <w:t>|</w:t>
      </w:r>
      <w:r>
        <w:rPr>
          <w:spacing w:val="16"/>
          <w:position w:val="2"/>
        </w:rPr>
        <w:t> </w:t>
      </w:r>
      <w:r>
        <w:rPr/>
        <w:t>CALDER</w:t>
      </w:r>
      <w:r>
        <w:rPr>
          <w:spacing w:val="16"/>
        </w:rPr>
        <w:t> </w:t>
      </w:r>
      <w:r>
        <w:rPr/>
        <w:t>VOSS</w:t>
      </w:r>
      <w:r>
        <w:rPr>
          <w:spacing w:val="16"/>
        </w:rPr>
        <w:t> </w:t>
      </w:r>
      <w:r>
        <w:rPr/>
        <w:t>LLP,</w:t>
      </w:r>
      <w:r>
        <w:rPr>
          <w:spacing w:val="16"/>
        </w:rPr>
        <w:t> </w:t>
      </w:r>
      <w:r>
        <w:rPr/>
        <w:t>MINNEAPOLIS,</w:t>
      </w:r>
      <w:r>
        <w:rPr>
          <w:spacing w:val="15"/>
        </w:rPr>
        <w:t> </w:t>
      </w:r>
      <w:r>
        <w:rPr>
          <w:spacing w:val="-5"/>
        </w:rPr>
        <w:t>MN</w:t>
      </w:r>
    </w:p>
    <w:p>
      <w:pPr>
        <w:pStyle w:val="BodyText"/>
        <w:spacing w:before="24"/>
        <w:ind w:left="177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3027" w:space="526"/>
            <w:col w:w="7801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36" w:lineRule="exact" w:before="151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Workiva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SOX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22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Big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4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audit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methodology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Staff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coaching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review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51" w:after="0"/>
        <w:ind w:left="475" w:right="58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Led in-charge senior role on 6 public and private audit engagements per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year in life sciences and medtech ($40M to $400M revenue).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73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Reviewed staff workpapers across revenue, inventory, and stock comp; trained 4 first-year staff each busy season.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786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 SAS 115 and SOC 1 control memos and presented preliminary findings to audit committee in two engagements.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735" w:hanging="298"/>
        <w:jc w:val="left"/>
        <w:rPr>
          <w:position w:val="-4"/>
          <w:sz w:val="31"/>
        </w:rPr>
      </w:pPr>
      <w:r>
        <w:rPr>
          <w:w w:val="105"/>
          <w:sz w:val="18"/>
        </w:rPr>
        <w:t>Identified an under-accrued royalty liability of approximately $1.1M at a public client during analytical review.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148" w:space="833"/>
            <w:col w:w="7373"/>
          </w:cols>
        </w:sectPr>
      </w:pP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902970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029700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57474"/>
                            <a:ext cx="257175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81175">
                                <a:moveTo>
                                  <a:pt x="2571737" y="1543050"/>
                                </a:moveTo>
                                <a:lnTo>
                                  <a:pt x="0" y="1543050"/>
                                </a:lnTo>
                                <a:lnTo>
                                  <a:pt x="0" y="1781175"/>
                                </a:lnTo>
                                <a:lnTo>
                                  <a:pt x="2571737" y="1781175"/>
                                </a:lnTo>
                                <a:lnTo>
                                  <a:pt x="2571737" y="1543050"/>
                                </a:lnTo>
                                <a:close/>
                              </a:path>
                              <a:path w="2571750" h="17811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0864" id="docshapegroup2" coordorigin="0,0" coordsize="4050,16860">
                <v:shape style="position:absolute;left:0;top:0;width:4050;height:16860" id="docshape3" coordorigin="0,0" coordsize="4050,16860" path="m4050,6990l0,6990,0,14220,0,16860,4050,16860,4050,14220,4050,6990xm4050,4560l0,4560,0,6615,4050,6615,4050,4560xm4050,0l0,0,0,4110,0,4185,4050,4185,4050,4110,4050,0xe" filled="true" fillcolor="#004f00" stroked="false">
                  <v:path arrowok="t"/>
                  <v:fill type="solid"/>
                </v:shape>
                <v:shape style="position:absolute;left:0;top:4185;width:4050;height:2805" id="docshape4" coordorigin="0,4185" coordsize="4050,2805" path="m4050,6615l0,6615,0,6990,4050,6990,4050,6615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5" stroked="false">
                  <v:imagedata r:id="rId6" o:title=""/>
                </v:shape>
                <v:shape style="position:absolute;left:750;top:4755;width:242;height:242" type="#_x0000_t75" id="docshape6" stroked="false">
                  <v:imagedata r:id="rId7" o:title=""/>
                </v:shape>
                <v:shape style="position:absolute;left:765;top:5250;width:210;height:242" type="#_x0000_t75" id="docshape7" stroked="false">
                  <v:imagedata r:id="rId8" o:title=""/>
                </v:shape>
                <v:shape style="position:absolute;left:750;top:5760;width:241;height:242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604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38125"/>
                <wp:effectExtent l="0" t="0" r="0" b="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004F00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18.75pt;mso-position-horizontal-relative:char;mso-position-vertical-relative:line" type="#_x0000_t202" id="docshape9" filled="true" fillcolor="#004f00" stroked="false">
                <w10:anchorlock/>
                <v:textbox inset="0,0,0,0">
                  <w:txbxContent>
                    <w:p>
                      <w:pPr>
                        <w:spacing w:before="7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9"/>
      </w:pPr>
    </w:p>
    <w:p>
      <w:pPr>
        <w:pStyle w:val="BodyText"/>
        <w:ind w:left="3730"/>
      </w:pPr>
      <w:r>
        <w:rPr>
          <w:w w:val="105"/>
        </w:rPr>
        <w:t>M.S.</w:t>
      </w:r>
      <w:r>
        <w:rPr>
          <w:spacing w:val="-2"/>
          <w:w w:val="105"/>
        </w:rPr>
        <w:t> </w:t>
      </w:r>
      <w:r>
        <w:rPr>
          <w:w w:val="105"/>
        </w:rPr>
        <w:t>Accountancy,</w:t>
      </w:r>
      <w:r>
        <w:rPr>
          <w:spacing w:val="10"/>
          <w:w w:val="105"/>
        </w:rPr>
        <w:t> </w:t>
      </w:r>
      <w:r>
        <w:rPr>
          <w:w w:val="105"/>
        </w:rPr>
        <w:t>University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w w:val="105"/>
        </w:rPr>
        <w:t>Minnesota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Carlson</w:t>
      </w:r>
      <w:r>
        <w:rPr>
          <w:spacing w:val="9"/>
          <w:w w:val="105"/>
        </w:rPr>
        <w:t> </w:t>
      </w:r>
      <w:r>
        <w:rPr>
          <w:w w:val="105"/>
        </w:rPr>
        <w:t>School,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81"/>
      </w:pPr>
    </w:p>
    <w:p>
      <w:pPr>
        <w:pStyle w:val="BodyText"/>
        <w:spacing w:line="556" w:lineRule="auto"/>
        <w:ind w:left="3730" w:right="3620"/>
      </w:pPr>
      <w:r>
        <w:rPr>
          <w:w w:val="105"/>
        </w:rPr>
        <w:t>B.A. Economics, Macalester College, 2018 CPA, Minnesota (License #28611), 2020</w:t>
      </w:r>
    </w:p>
    <w:sectPr>
      <w:type w:val="continuous"/>
      <w:pgSz w:w="11920" w:h="16860"/>
      <w:pgMar w:top="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2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1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9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6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4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9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lindgre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2026-07-18T03:41:19Z</dcterms:created>
  <dcterms:modified xsi:type="dcterms:W3CDTF">2026-07-18T03:41:19Z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