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rPr>
          <w:rFonts w:ascii="Times New Roman"/>
          <w:sz w:val="89"/>
        </w:rPr>
      </w:pPr>
    </w:p>
    <w:p>
      <w:pPr>
        <w:spacing w:before="0"/>
        <w:ind w:left="4017" w:right="19" w:firstLine="0"/>
        <w:jc w:val="center"/>
        <w:rPr>
          <w:sz w:val="89"/>
        </w:rPr>
      </w:pPr>
      <w:r>
        <w:rPr>
          <w:b/>
          <w:color w:val="FFFFFF"/>
          <w:spacing w:val="14"/>
          <w:sz w:val="89"/>
        </w:rPr>
        <w:t>ANGELA</w:t>
      </w:r>
      <w:r>
        <w:rPr>
          <w:b/>
          <w:color w:val="FFFFFF"/>
          <w:spacing w:val="37"/>
          <w:sz w:val="89"/>
        </w:rPr>
        <w:t> </w:t>
      </w:r>
      <w:r>
        <w:rPr>
          <w:color w:val="FFFFFF"/>
          <w:spacing w:val="9"/>
          <w:sz w:val="89"/>
        </w:rPr>
        <w:t>ADAMS</w:t>
      </w:r>
    </w:p>
    <w:p>
      <w:pPr>
        <w:spacing w:before="194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Icu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pacing w:val="-2"/>
          <w:sz w:val="20"/>
        </w:rPr>
        <w:t>Nurse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1"/>
        <w:ind w:left="7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2447924</wp:posOffset>
                </wp:positionH>
                <wp:positionV relativeFrom="paragraph">
                  <wp:posOffset>81058</wp:posOffset>
                </wp:positionV>
                <wp:extent cx="9525" cy="8505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505825"/>
                          <a:chExt cx="9525" cy="8505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343774"/>
                            <a:ext cx="952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0">
                                <a:moveTo>
                                  <a:pt x="0" y="1162050"/>
                                </a:moveTo>
                                <a:lnTo>
                                  <a:pt x="9524" y="11620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2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34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343775">
                                <a:moveTo>
                                  <a:pt x="9524" y="7343774"/>
                                </a:moveTo>
                                <a:lnTo>
                                  <a:pt x="0" y="7343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34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382584pt;width:.75pt;height:669.75pt;mso-position-horizontal-relative:page;mso-position-vertical-relative:paragraph;z-index:-15795200" id="docshapegroup1" coordorigin="3855,128" coordsize="15,13395">
                <v:rect style="position:absolute;left:3855;top:11692;width:15;height:1830" id="docshape2" filled="true" fillcolor="#1f1f1f" stroked="false">
                  <v:fill opacity="15420f" type="solid"/>
                </v:rect>
                <v:rect style="position:absolute;left:3855;top:127;width:15;height:1156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color w:val="090909"/>
        </w:rPr>
        <w:t>ABOUT</w:t>
      </w:r>
      <w:r>
        <w:rPr>
          <w:color w:val="090909"/>
          <w:spacing w:val="11"/>
        </w:rPr>
        <w:t> </w:t>
      </w:r>
      <w:r>
        <w:rPr>
          <w:color w:val="090909"/>
          <w:spacing w:val="-5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90909"/>
          <w:sz w:val="20"/>
        </w:rPr>
        <w:t>CONTACT</w:t>
      </w:r>
      <w:r>
        <w:rPr>
          <w:b/>
          <w:color w:val="090909"/>
          <w:spacing w:val="-1"/>
          <w:sz w:val="20"/>
        </w:rPr>
        <w:t> </w:t>
      </w:r>
      <w:r>
        <w:rPr>
          <w:b/>
          <w:color w:val="090909"/>
          <w:spacing w:val="-2"/>
          <w:sz w:val="20"/>
        </w:rPr>
        <w:t>INFORMATION</w:t>
      </w:r>
    </w:p>
    <w:p>
      <w:pPr>
        <w:pStyle w:val="BodyText"/>
        <w:spacing w:before="27"/>
        <w:rPr>
          <w:b/>
          <w:sz w:val="20"/>
        </w:rPr>
      </w:pPr>
    </w:p>
    <w:p>
      <w:pPr>
        <w:pStyle w:val="BodyText"/>
        <w:tabs>
          <w:tab w:pos="957" w:val="left" w:leader="none"/>
        </w:tabs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(303)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0172</w:t>
      </w:r>
    </w:p>
    <w:p>
      <w:pPr>
        <w:pStyle w:val="BodyText"/>
        <w:spacing w:line="295" w:lineRule="auto" w:before="100"/>
        <w:ind w:left="957" w:right="3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356155</wp:posOffset>
            </wp:positionH>
            <wp:positionV relativeFrom="paragraph">
              <wp:posOffset>123588</wp:posOffset>
            </wp:positionV>
            <wp:extent cx="174258" cy="20067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1F1F1F"/>
            <w:spacing w:val="-2"/>
          </w:rPr>
          <w:t>priya.natarajan@example.co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tabs>
          <w:tab w:pos="957" w:val="left" w:leader="none"/>
        </w:tabs>
        <w:spacing w:before="95"/>
        <w:ind w:left="400"/>
      </w:pP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  <w:spacing w:val="-4"/>
          <w:w w:val="105"/>
        </w:rPr>
        <w:t>Denver,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4"/>
          <w:w w:val="105"/>
        </w:rPr>
        <w:t>CO 12345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>
          <w:color w:val="090909"/>
        </w:rPr>
        <w:t>KEY</w:t>
      </w:r>
      <w:r>
        <w:rPr>
          <w:color w:val="090909"/>
          <w:spacing w:val="3"/>
        </w:rPr>
        <w:t> </w:t>
      </w:r>
      <w:r>
        <w:rPr>
          <w:color w:val="090909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209" w:after="0"/>
        <w:ind w:left="696" w:right="0" w:hanging="298"/>
        <w:jc w:val="left"/>
        <w:rPr>
          <w:sz w:val="18"/>
        </w:rPr>
      </w:pPr>
      <w:r>
        <w:rPr>
          <w:color w:val="1F1F1F"/>
          <w:sz w:val="18"/>
        </w:rPr>
        <w:t>EVD</w:t>
      </w:r>
      <w:r>
        <w:rPr>
          <w:color w:val="1F1F1F"/>
          <w:spacing w:val="1"/>
          <w:sz w:val="18"/>
        </w:rPr>
        <w:t> </w:t>
      </w:r>
      <w:r>
        <w:rPr>
          <w:color w:val="1F1F1F"/>
          <w:sz w:val="18"/>
        </w:rPr>
        <w:t>and</w:t>
      </w:r>
      <w:r>
        <w:rPr>
          <w:color w:val="1F1F1F"/>
          <w:spacing w:val="1"/>
          <w:sz w:val="18"/>
        </w:rPr>
        <w:t> </w:t>
      </w:r>
      <w:r>
        <w:rPr>
          <w:color w:val="1F1F1F"/>
          <w:sz w:val="18"/>
        </w:rPr>
        <w:t>ICP</w:t>
      </w:r>
      <w:r>
        <w:rPr>
          <w:color w:val="1F1F1F"/>
          <w:spacing w:val="1"/>
          <w:sz w:val="18"/>
        </w:rPr>
        <w:t> </w:t>
      </w:r>
      <w:r>
        <w:rPr>
          <w:color w:val="1F1F1F"/>
          <w:spacing w:val="-2"/>
          <w:sz w:val="18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863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Targeted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temperature management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436" w:hanging="298"/>
        <w:jc w:val="left"/>
        <w:rPr>
          <w:sz w:val="18"/>
        </w:rPr>
      </w:pPr>
      <w:r>
        <w:rPr>
          <w:color w:val="1F1F1F"/>
          <w:w w:val="105"/>
          <w:sz w:val="18"/>
        </w:rPr>
        <w:t>Mechanical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ventilation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 </w:t>
      </w:r>
      <w:r>
        <w:rPr>
          <w:color w:val="1F1F1F"/>
          <w:spacing w:val="-2"/>
          <w:w w:val="105"/>
          <w:sz w:val="18"/>
        </w:rPr>
        <w:t>weaning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491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Vasopressor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sedation titration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Charge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relief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bed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spacing w:val="-5"/>
          <w:w w:val="105"/>
          <w:sz w:val="18"/>
        </w:rPr>
        <w:t>ﬂow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Rapid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response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code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4"/>
          <w:w w:val="105"/>
          <w:sz w:val="18"/>
        </w:rPr>
        <w:t>blue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78" w:lineRule="auto" w:before="153" w:after="0"/>
        <w:ind w:left="696" w:right="295" w:hanging="298"/>
        <w:jc w:val="left"/>
        <w:rPr>
          <w:sz w:val="18"/>
        </w:rPr>
      </w:pPr>
      <w:r>
        <w:rPr>
          <w:color w:val="1F1F1F"/>
          <w:w w:val="105"/>
          <w:sz w:val="18"/>
        </w:rPr>
        <w:t>Precepting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competency </w:t>
      </w:r>
      <w:r>
        <w:rPr>
          <w:color w:val="1F1F1F"/>
          <w:spacing w:val="-2"/>
          <w:w w:val="105"/>
          <w:sz w:val="18"/>
        </w:rPr>
        <w:t>teaching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20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Epic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charting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Sepsis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bundle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compliance</w:t>
      </w:r>
    </w:p>
    <w:p>
      <w:pPr>
        <w:spacing w:line="292" w:lineRule="auto" w:before="70"/>
        <w:ind w:left="281" w:right="209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ICU staff nurse with 4 years in a high-acuity neuro and medical ICU. Strong with vented, sedated, and unstable neuro patients, including EVD management and targeted temperature post-arrest. Often pulled to charge relief and rapid response coverage on night shift.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139945</wp:posOffset>
                </wp:positionV>
                <wp:extent cx="462915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019296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7"/>
        <w:rPr>
          <w:sz w:val="20"/>
        </w:rPr>
      </w:pPr>
    </w:p>
    <w:p>
      <w:pPr>
        <w:pStyle w:val="Heading1"/>
      </w:pPr>
      <w:r>
        <w:rPr>
          <w:color w:val="090909"/>
        </w:rPr>
        <w:t>PROFESSIONAL</w:t>
      </w:r>
      <w:r>
        <w:rPr>
          <w:color w:val="090909"/>
          <w:spacing w:val="17"/>
        </w:rPr>
        <w:t> </w:t>
      </w:r>
      <w:r>
        <w:rPr>
          <w:color w:val="090909"/>
          <w:spacing w:val="-2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ICU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Staff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Nurse,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Neuro/Medical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5"/>
          <w:sz w:val="20"/>
        </w:rPr>
        <w:t>ICU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Front</w:t>
      </w:r>
      <w:r>
        <w:rPr>
          <w:spacing w:val="3"/>
          <w:sz w:val="20"/>
        </w:rPr>
        <w:t> </w:t>
      </w:r>
      <w:r>
        <w:rPr>
          <w:sz w:val="20"/>
        </w:rPr>
        <w:t>Range</w:t>
      </w:r>
      <w:r>
        <w:rPr>
          <w:spacing w:val="3"/>
          <w:sz w:val="20"/>
        </w:rPr>
        <w:t> </w:t>
      </w:r>
      <w:r>
        <w:rPr>
          <w:sz w:val="20"/>
        </w:rPr>
        <w:t>University</w:t>
      </w:r>
      <w:r>
        <w:rPr>
          <w:spacing w:val="4"/>
          <w:sz w:val="20"/>
        </w:rPr>
        <w:t> </w:t>
      </w:r>
      <w:r>
        <w:rPr>
          <w:sz w:val="20"/>
        </w:rPr>
        <w:t>Hospital,</w:t>
      </w:r>
      <w:r>
        <w:rPr>
          <w:spacing w:val="3"/>
          <w:sz w:val="20"/>
        </w:rPr>
        <w:t> </w:t>
      </w:r>
      <w:r>
        <w:rPr>
          <w:sz w:val="20"/>
        </w:rPr>
        <w:t>Denver,</w:t>
      </w:r>
      <w:r>
        <w:rPr>
          <w:spacing w:val="3"/>
          <w:sz w:val="20"/>
        </w:rPr>
        <w:t> </w:t>
      </w:r>
      <w:r>
        <w:rPr>
          <w:sz w:val="20"/>
        </w:rPr>
        <w:t>CO</w:t>
      </w:r>
      <w:r>
        <w:rPr>
          <w:spacing w:val="4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2022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78" w:lineRule="auto" w:before="149" w:after="0"/>
        <w:ind w:left="975" w:right="499" w:hanging="302"/>
        <w:jc w:val="left"/>
        <w:rPr>
          <w:sz w:val="18"/>
        </w:rPr>
      </w:pPr>
      <w:r>
        <w:rPr>
          <w:color w:val="1F1F1F"/>
          <w:w w:val="105"/>
          <w:sz w:val="18"/>
        </w:rPr>
        <w:t>Manage 2 ICU patients per shift in a 28-bed mixed neuro/medical ICU, including subarachnoid hemorrhage, status epilepticus, and septic shock.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78" w:lineRule="auto" w:before="120" w:after="0"/>
        <w:ind w:left="975" w:right="400" w:hanging="302"/>
        <w:jc w:val="left"/>
        <w:rPr>
          <w:sz w:val="18"/>
        </w:rPr>
      </w:pPr>
      <w:r>
        <w:rPr>
          <w:color w:val="1F1F1F"/>
          <w:w w:val="105"/>
          <w:sz w:val="18"/>
        </w:rPr>
        <w:t>Set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up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troubleshoot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EVDs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ICP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monitoring;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trained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9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nurses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EVD zero-and-level technique during the unit competency push last winter.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20" w:after="0"/>
        <w:ind w:left="975" w:right="145" w:hanging="302"/>
        <w:jc w:val="left"/>
        <w:rPr>
          <w:sz w:val="18"/>
        </w:rPr>
      </w:pPr>
      <w:r>
        <w:rPr>
          <w:color w:val="1F1F1F"/>
          <w:w w:val="105"/>
          <w:sz w:val="18"/>
        </w:rPr>
        <w:t>Charge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relief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roughly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night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shifts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month;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handle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bed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ﬂow,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admissions, and family escalations.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0" w:after="0"/>
        <w:ind w:left="975" w:right="137" w:hanging="302"/>
        <w:jc w:val="left"/>
        <w:rPr>
          <w:sz w:val="18"/>
        </w:rPr>
      </w:pPr>
      <w:r>
        <w:rPr>
          <w:color w:val="1F1F1F"/>
          <w:w w:val="105"/>
          <w:sz w:val="18"/>
        </w:rPr>
        <w:t>Reduced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central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line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dressing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change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overdue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rate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my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pod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 recurring problem down to under 5% through a simple weekly audit board.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152" w:hanging="302"/>
        <w:jc w:val="left"/>
        <w:rPr>
          <w:sz w:val="18"/>
        </w:rPr>
      </w:pPr>
      <w:r>
        <w:rPr>
          <w:color w:val="1F1F1F"/>
          <w:w w:val="105"/>
          <w:sz w:val="18"/>
        </w:rPr>
        <w:t>Active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Code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Sepsis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committee;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review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monthly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cases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feed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ﬁndings back at shift huddle.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Step-Down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RN,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Pulmonary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w w:val="105"/>
          <w:sz w:val="20"/>
        </w:rPr>
        <w:t>Cedarwood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Heart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Lung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Hospital,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Aurora,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|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2020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> </w:t>
      </w:r>
      <w:r>
        <w:rPr>
          <w:spacing w:val="-4"/>
          <w:w w:val="105"/>
          <w:sz w:val="20"/>
        </w:rPr>
        <w:t>2022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49" w:after="0"/>
        <w:ind w:left="975" w:right="540" w:hanging="302"/>
        <w:jc w:val="left"/>
        <w:rPr>
          <w:sz w:val="18"/>
        </w:rPr>
      </w:pPr>
      <w:r>
        <w:rPr>
          <w:color w:val="1F1F1F"/>
          <w:w w:val="105"/>
          <w:sz w:val="18"/>
        </w:rPr>
        <w:t>Cared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patients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per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shift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BiPAP,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high-ﬂow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nasal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cannula,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post-extubation monitoring.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623" w:hanging="302"/>
        <w:jc w:val="left"/>
        <w:rPr>
          <w:sz w:val="18"/>
        </w:rPr>
      </w:pPr>
      <w:r>
        <w:rPr>
          <w:color w:val="1F1F1F"/>
          <w:w w:val="105"/>
          <w:sz w:val="18"/>
        </w:rPr>
        <w:t>Identiﬁed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2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patients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trending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toward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respiratory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failure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ahead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MET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call criteria, escalating early enough to avoid intubation in both cases.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548" w:hanging="302"/>
        <w:jc w:val="left"/>
        <w:rPr>
          <w:sz w:val="18"/>
        </w:rPr>
      </w:pPr>
      <w:r>
        <w:rPr>
          <w:color w:val="1F1F1F"/>
          <w:w w:val="105"/>
          <w:sz w:val="18"/>
        </w:rPr>
        <w:t>Precepted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3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nurses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transitioning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med-surg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step-down,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including airway and ABG basics.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357" w:space="493"/>
            <w:col w:w="7646"/>
          </w:cols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5712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24098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687945" cy="2409825"/>
                          <a:chExt cx="7687945" cy="24098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07709" y="380999"/>
                            <a:ext cx="952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52575">
                                <a:moveTo>
                                  <a:pt x="0" y="1552575"/>
                                </a:moveTo>
                                <a:lnTo>
                                  <a:pt x="9524" y="15525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3C3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3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189.75pt;mso-position-horizontal-relative:page;mso-position-vertical-relative:page;z-index:-15794688" id="docshapegroup6" coordorigin="-94,0" coordsize="12107,3795">
                <v:rect style="position:absolute;left:3855;top:600;width:15;height:2445" id="docshape7" filled="true" fillcolor="#1f1f1f" stroked="false">
                  <v:fill opacity="15420f" type="solid"/>
                </v:rect>
                <v:rect style="position:absolute;left:0;top:0;width:11919;height:3045" id="docshape8" filled="true" fillcolor="#593c33" stroked="false">
                  <v:fill opacity="32899f" type="solid"/>
                </v:rect>
                <v:shape style="position:absolute;left:0;top:274;width:11919;height:2726" id="docshape9" coordorigin="0,275" coordsize="11919,2726" path="m11918,3000l0,3000,0,835,11918,275,11918,3000xe" filled="true" fillcolor="#593c33" stroked="false">
                  <v:path arrowok="t"/>
                  <v:fill type="solid"/>
                </v:shape>
                <v:rect style="position:absolute;left:0;top:2905;width:11919;height:189" id="docshape10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390;top:450;width:3345;height:33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989"/>
      </w:pPr>
      <w:r>
        <w:rPr>
          <w:color w:val="090909"/>
          <w:spacing w:val="-2"/>
        </w:rPr>
        <w:t>EDUCATION</w:t>
      </w:r>
    </w:p>
    <w:p>
      <w:pPr>
        <w:spacing w:line="470" w:lineRule="auto" w:before="205"/>
        <w:ind w:left="3989" w:right="704" w:firstLine="0"/>
        <w:jc w:val="left"/>
        <w:rPr>
          <w:sz w:val="20"/>
        </w:rPr>
      </w:pPr>
      <w:r>
        <w:rPr>
          <w:color w:val="1F1F1F"/>
          <w:sz w:val="20"/>
        </w:rPr>
        <w:t>Bachelor of Science in Nursing, University of Colorado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Anschutz, 2020 CCRN (Adult), 2023</w:t>
      </w:r>
    </w:p>
    <w:p>
      <w:pPr>
        <w:spacing w:line="213" w:lineRule="exact" w:before="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BLS,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ACLS,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NIHSS,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CRRT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competency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(Prismaﬂex)</w:t>
      </w:r>
    </w:p>
    <w:sectPr>
      <w:type w:val="continuous"/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numPicBullet w:numPicBulletId="1">
    <w:pict>
      <v:shape id="_x0000_i1076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6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2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67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69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iya.natarajan@example.c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2026-07-01T07:08:49Z</dcterms:created>
  <dcterms:modified xsi:type="dcterms:W3CDTF">2026-07-01T07:08:49Z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