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7"/>
        <w:ind w:left="0"/>
        <w:rPr>
          <w:rFonts w:ascii="Times New Roman"/>
          <w:sz w:val="74"/>
        </w:rPr>
      </w:pPr>
    </w:p>
    <w:p>
      <w:pPr>
        <w:spacing w:before="0"/>
        <w:ind w:left="3711" w:right="0" w:firstLine="0"/>
        <w:jc w:val="center"/>
        <w:rPr>
          <w:sz w:val="74"/>
        </w:rPr>
      </w:pPr>
      <w:r>
        <w:rPr>
          <w:color w:val="424242"/>
          <w:spacing w:val="11"/>
          <w:sz w:val="74"/>
        </w:rPr>
        <w:t>Justin</w:t>
      </w:r>
      <w:r>
        <w:rPr>
          <w:color w:val="424242"/>
          <w:spacing w:val="34"/>
          <w:sz w:val="74"/>
        </w:rPr>
        <w:t> </w:t>
      </w:r>
      <w:r>
        <w:rPr>
          <w:color w:val="424242"/>
          <w:spacing w:val="9"/>
          <w:sz w:val="74"/>
        </w:rPr>
        <w:t>Parker</w:t>
      </w:r>
    </w:p>
    <w:p>
      <w:pPr>
        <w:pStyle w:val="BodyText"/>
        <w:spacing w:before="199"/>
        <w:ind w:left="3722"/>
        <w:jc w:val="center"/>
      </w:pPr>
      <w:r>
        <w:rPr>
          <w:spacing w:val="-2"/>
          <w:w w:val="105"/>
        </w:rPr>
        <w:t>Auditor</w:t>
      </w:r>
    </w:p>
    <w:p>
      <w:pPr>
        <w:spacing w:line="273" w:lineRule="auto" w:before="172"/>
        <w:ind w:left="4054" w:right="87" w:firstLine="0"/>
        <w:jc w:val="center"/>
        <w:rPr>
          <w:sz w:val="16"/>
        </w:rPr>
      </w:pPr>
      <w:r>
        <w:rPr>
          <w:w w:val="105"/>
          <w:sz w:val="16"/>
        </w:rPr>
        <w:t>Audit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Manager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Big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industry,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leading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public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private engagements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opinion.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Sector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focus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technology,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healthcare services,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financial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institutions.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Strong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coaching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seniors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in-charge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roles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 managing partner expectations on tight filers.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283" w:right="283"/>
        </w:sectPr>
      </w:pPr>
    </w:p>
    <w:p>
      <w:pPr>
        <w:pStyle w:val="BodyText"/>
        <w:spacing w:before="0"/>
        <w:ind w:left="0"/>
        <w:rPr>
          <w:sz w:val="24"/>
        </w:rPr>
      </w:pPr>
    </w:p>
    <w:p>
      <w:pPr>
        <w:pStyle w:val="BodyText"/>
        <w:spacing w:before="4"/>
        <w:ind w:left="0"/>
        <w:rPr>
          <w:sz w:val="24"/>
        </w:rPr>
      </w:pPr>
    </w:p>
    <w:p>
      <w:pPr>
        <w:pStyle w:val="Heading1"/>
      </w:pPr>
      <w:r>
        <w:rPr>
          <w:color w:val="FFFFFF"/>
        </w:rPr>
        <w:t>CONTACT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7"/>
        <w:ind w:left="815"/>
      </w:pPr>
      <w:r>
        <w:rPr>
          <w:color w:val="FFFFFF"/>
        </w:rPr>
        <w:t>(813)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0119</w:t>
      </w:r>
    </w:p>
    <w:p>
      <w:pPr>
        <w:pStyle w:val="BodyText"/>
        <w:spacing w:before="96"/>
        <w:ind w:left="0"/>
      </w:pPr>
    </w:p>
    <w:p>
      <w:pPr>
        <w:pStyle w:val="BodyText"/>
        <w:spacing w:line="573" w:lineRule="auto" w:before="0"/>
        <w:ind w:left="815"/>
      </w:pPr>
      <w:hyperlink r:id="rId5">
        <w:r>
          <w:rPr>
            <w:color w:val="FFFFFF"/>
            <w:spacing w:val="-2"/>
          </w:rPr>
          <w:t>daniel.krasnov@email.com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Tampa, FL 12345</w:t>
      </w:r>
    </w:p>
    <w:p>
      <w:pPr>
        <w:pStyle w:val="BodyText"/>
        <w:spacing w:before="22"/>
        <w:ind w:left="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78" w:lineRule="auto" w:before="202"/>
        <w:ind w:left="647"/>
      </w:pPr>
      <w:r>
        <w:rPr>
          <w:color w:val="FFFFFF"/>
          <w:spacing w:val="-2"/>
          <w:w w:val="105"/>
        </w:rPr>
        <w:t>Engagement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economics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realization</w:t>
      </w:r>
    </w:p>
    <w:p>
      <w:pPr>
        <w:pStyle w:val="BodyText"/>
        <w:spacing w:line="364" w:lineRule="auto" w:before="90"/>
        <w:ind w:left="647"/>
      </w:pPr>
      <w:r>
        <w:rPr>
          <w:color w:val="FFFFFF"/>
        </w:rPr>
        <w:t>PCAOB and</w:t>
      </w:r>
      <w:r>
        <w:rPr>
          <w:color w:val="FFFFFF"/>
          <w:spacing w:val="-2"/>
        </w:rPr>
        <w:t> </w:t>
      </w:r>
      <w:r>
        <w:rPr>
          <w:color w:val="FFFFFF"/>
        </w:rPr>
        <w:t>AICPA</w:t>
      </w:r>
      <w:r>
        <w:rPr>
          <w:color w:val="FFFFFF"/>
          <w:spacing w:val="-2"/>
        </w:rPr>
        <w:t> </w:t>
      </w:r>
      <w:r>
        <w:rPr>
          <w:color w:val="FFFFFF"/>
        </w:rPr>
        <w:t>standards </w:t>
      </w:r>
      <w:r>
        <w:rPr>
          <w:color w:val="FFFFFF"/>
          <w:w w:val="105"/>
        </w:rPr>
        <w:t>CECL and ALLL testing</w:t>
      </w:r>
    </w:p>
    <w:p>
      <w:pPr>
        <w:pStyle w:val="BodyText"/>
        <w:spacing w:before="15"/>
        <w:ind w:left="647"/>
      </w:pPr>
      <w:r>
        <w:rPr>
          <w:color w:val="FFFFFF"/>
          <w:spacing w:val="-2"/>
          <w:w w:val="105"/>
        </w:rPr>
        <w:t>ICFR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opinion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SOX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404(b)</w:t>
      </w:r>
    </w:p>
    <w:p>
      <w:pPr>
        <w:pStyle w:val="BodyText"/>
        <w:spacing w:line="261" w:lineRule="auto" w:before="123"/>
        <w:ind w:left="647" w:right="84"/>
      </w:pPr>
      <w:r>
        <w:rPr>
          <w:color w:val="FFFFFF"/>
          <w:spacing w:val="-2"/>
          <w:w w:val="105"/>
        </w:rPr>
        <w:t>Technical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accounting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memos </w:t>
      </w:r>
      <w:r>
        <w:rPr>
          <w:color w:val="FFFFFF"/>
          <w:w w:val="105"/>
        </w:rPr>
        <w:t>(606, 842, 805)</w:t>
      </w:r>
    </w:p>
    <w:p>
      <w:pPr>
        <w:pStyle w:val="BodyText"/>
        <w:ind w:left="647"/>
      </w:pPr>
      <w:r>
        <w:rPr>
          <w:color w:val="FFFFFF"/>
        </w:rPr>
        <w:t>Audit</w:t>
      </w:r>
      <w:r>
        <w:rPr>
          <w:color w:val="FFFFFF"/>
          <w:spacing w:val="13"/>
        </w:rPr>
        <w:t> </w:t>
      </w:r>
      <w:r>
        <w:rPr>
          <w:color w:val="FFFFFF"/>
        </w:rPr>
        <w:t>committee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reporting</w:t>
      </w:r>
    </w:p>
    <w:p>
      <w:pPr>
        <w:pStyle w:val="BodyText"/>
        <w:spacing w:line="261" w:lineRule="auto" w:before="123"/>
        <w:ind w:left="647"/>
      </w:pPr>
      <w:r>
        <w:rPr>
          <w:color w:val="FFFFFF"/>
          <w:w w:val="105"/>
        </w:rPr>
        <w:t>Staff coaching and </w:t>
      </w:r>
      <w:r>
        <w:rPr>
          <w:color w:val="FFFFFF"/>
          <w:spacing w:val="-2"/>
          <w:w w:val="105"/>
        </w:rPr>
        <w:t>performance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reviews</w:t>
      </w:r>
    </w:p>
    <w:p>
      <w:pPr>
        <w:pStyle w:val="BodyText"/>
        <w:spacing w:line="381" w:lineRule="auto"/>
        <w:ind w:left="647" w:right="84"/>
      </w:pPr>
      <w:r>
        <w:rPr>
          <w:color w:val="FFFFFF"/>
          <w:w w:val="105"/>
        </w:rPr>
        <w:t>Campus recruiting </w:t>
      </w:r>
      <w:r>
        <w:rPr>
          <w:color w:val="FFFFFF"/>
          <w:spacing w:val="-2"/>
          <w:w w:val="105"/>
        </w:rPr>
        <w:t>AuditBoard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administration</w:t>
      </w:r>
    </w:p>
    <w:p>
      <w:pPr>
        <w:pStyle w:val="BodyText"/>
        <w:spacing w:line="261" w:lineRule="auto" w:before="2"/>
        <w:ind w:left="647"/>
      </w:pPr>
      <w:r>
        <w:rPr>
          <w:color w:val="FFFFFF"/>
          <w:spacing w:val="-2"/>
          <w:w w:val="105"/>
        </w:rPr>
        <w:t>Engagement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risk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independence</w:t>
      </w:r>
    </w:p>
    <w:p>
      <w:pPr>
        <w:pStyle w:val="BodyText"/>
        <w:spacing w:line="278" w:lineRule="auto"/>
        <w:ind w:left="647" w:right="546"/>
      </w:pPr>
      <w:r>
        <w:rPr>
          <w:color w:val="FFFFFF"/>
          <w:w w:val="105"/>
        </w:rPr>
        <w:t>Client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retention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fee </w:t>
      </w:r>
      <w:r>
        <w:rPr>
          <w:color w:val="FFFFFF"/>
          <w:spacing w:val="-2"/>
          <w:w w:val="105"/>
        </w:rPr>
        <w:t>negotiation</w:t>
      </w:r>
    </w:p>
    <w:p>
      <w:pPr>
        <w:pStyle w:val="Heading1"/>
        <w:spacing w:before="46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5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2"/>
        <w:ind w:left="164"/>
      </w:pPr>
      <w:r>
        <w:rPr>
          <w:w w:val="105"/>
        </w:rPr>
        <w:t>2021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  <w:spacing w:before="7"/>
      </w:pPr>
      <w:r>
        <w:rPr/>
        <w:t>Audit</w:t>
      </w:r>
      <w:r>
        <w:rPr>
          <w:spacing w:val="4"/>
        </w:rPr>
        <w:t> </w:t>
      </w:r>
      <w:r>
        <w:rPr/>
        <w:t>Manager,</w:t>
      </w:r>
      <w:r>
        <w:rPr>
          <w:spacing w:val="5"/>
        </w:rPr>
        <w:t> </w:t>
      </w:r>
      <w:r>
        <w:rPr/>
        <w:t>Carrington</w:t>
      </w:r>
      <w:r>
        <w:rPr>
          <w:spacing w:val="5"/>
        </w:rPr>
        <w:t> </w:t>
      </w:r>
      <w:r>
        <w:rPr/>
        <w:t>Vale</w:t>
      </w:r>
      <w:r>
        <w:rPr>
          <w:spacing w:val="5"/>
        </w:rPr>
        <w:t> </w:t>
      </w:r>
      <w:r>
        <w:rPr/>
        <w:t>CPAs,</w:t>
      </w:r>
      <w:r>
        <w:rPr>
          <w:spacing w:val="5"/>
        </w:rPr>
        <w:t> </w:t>
      </w:r>
      <w:r>
        <w:rPr/>
        <w:t>Tampa,</w:t>
      </w:r>
      <w:r>
        <w:rPr>
          <w:spacing w:val="5"/>
        </w:rPr>
        <w:t> </w:t>
      </w:r>
      <w:r>
        <w:rPr>
          <w:spacing w:val="-5"/>
        </w:rPr>
        <w:t>FL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4" w:after="0"/>
        <w:ind w:left="926" w:right="366" w:hanging="292"/>
        <w:jc w:val="left"/>
        <w:rPr>
          <w:sz w:val="18"/>
        </w:rPr>
      </w:pPr>
      <w:r>
        <w:rPr>
          <w:w w:val="105"/>
          <w:sz w:val="18"/>
        </w:rPr>
        <w:t>Oversee a portfolio of 14 clients generating roughly $4.6M in annual fees, including 5 SEC registrants.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89" w:after="0"/>
        <w:ind w:left="926" w:right="522" w:hanging="292"/>
        <w:jc w:val="left"/>
        <w:rPr>
          <w:sz w:val="18"/>
        </w:rPr>
      </w:pPr>
      <w:r>
        <w:rPr>
          <w:w w:val="105"/>
          <w:sz w:val="18"/>
        </w:rPr>
        <w:t>Restructured the busy-season staffing model so seniors got two days of buffer per engagement, attrition on my team dropped to 8%.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488" w:hanging="292"/>
        <w:jc w:val="left"/>
        <w:rPr>
          <w:sz w:val="18"/>
        </w:rPr>
      </w:pPr>
      <w:r>
        <w:rPr>
          <w:w w:val="105"/>
          <w:sz w:val="18"/>
        </w:rPr>
        <w:t>Personally reviewed the technical accounting memo for a $24M revenue restatement, no comments from concurring partner.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491" w:hanging="292"/>
        <w:jc w:val="left"/>
        <w:rPr>
          <w:sz w:val="18"/>
        </w:rPr>
      </w:pPr>
      <w:r>
        <w:rPr>
          <w:w w:val="105"/>
          <w:sz w:val="18"/>
        </w:rPr>
        <w:t>Sit on the firm's accounting and auditing standards committee and write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quarterly updates on FASB and PCAOB changes.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255" w:hanging="292"/>
        <w:jc w:val="left"/>
        <w:rPr>
          <w:sz w:val="18"/>
        </w:rPr>
      </w:pPr>
      <w:r>
        <w:rPr>
          <w:w w:val="105"/>
          <w:sz w:val="18"/>
        </w:rPr>
        <w:t>Run the campus recruiting pipeline at two state universities and have hired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11 of the firm's last 30 staff.</w:t>
      </w:r>
    </w:p>
    <w:p>
      <w:pPr>
        <w:pStyle w:val="BodyText"/>
        <w:spacing w:before="149"/>
        <w:ind w:left="164"/>
      </w:pPr>
      <w:r>
        <w:rPr>
          <w:w w:val="105"/>
        </w:rPr>
        <w:t>2018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Heading2"/>
        <w:spacing w:before="6"/>
      </w:pPr>
      <w:r>
        <w:rPr/>
        <w:t>Senior</w:t>
      </w:r>
      <w:r>
        <w:rPr>
          <w:spacing w:val="-8"/>
        </w:rPr>
        <w:t> </w:t>
      </w:r>
      <w:r>
        <w:rPr/>
        <w:t>Auditor,</w:t>
      </w:r>
      <w:r>
        <w:rPr>
          <w:spacing w:val="-1"/>
        </w:rPr>
        <w:t> </w:t>
      </w:r>
      <w:r>
        <w:rPr/>
        <w:t>EY</w:t>
      </w:r>
      <w:r>
        <w:rPr>
          <w:spacing w:val="-5"/>
        </w:rPr>
        <w:t> </w:t>
      </w:r>
      <w:r>
        <w:rPr/>
        <w:t>(Florida</w:t>
      </w:r>
      <w:r>
        <w:rPr>
          <w:spacing w:val="-1"/>
        </w:rPr>
        <w:t> </w:t>
      </w:r>
      <w:r>
        <w:rPr/>
        <w:t>market),</w:t>
      </w:r>
      <w:r>
        <w:rPr>
          <w:spacing w:val="-1"/>
        </w:rPr>
        <w:t> </w:t>
      </w:r>
      <w:r>
        <w:rPr/>
        <w:t>Tampa,</w:t>
      </w:r>
      <w:r>
        <w:rPr>
          <w:spacing w:val="-2"/>
        </w:rPr>
        <w:t> </w:t>
      </w:r>
      <w:r>
        <w:rPr>
          <w:spacing w:val="-5"/>
        </w:rPr>
        <w:t>FL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4" w:after="0"/>
        <w:ind w:left="926" w:right="373" w:hanging="292"/>
        <w:jc w:val="left"/>
        <w:rPr>
          <w:sz w:val="18"/>
        </w:rPr>
      </w:pPr>
      <w:r>
        <w:rPr>
          <w:w w:val="105"/>
          <w:sz w:val="18"/>
        </w:rPr>
        <w:t>In-charge on a community bank audit with $2.1B in assets, including loan loss reserve and OREO testing.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460" w:hanging="292"/>
        <w:jc w:val="left"/>
        <w:rPr>
          <w:sz w:val="18"/>
        </w:rPr>
      </w:pPr>
      <w:r>
        <w:rPr>
          <w:w w:val="105"/>
          <w:sz w:val="18"/>
        </w:rPr>
        <w:t>Managed a team of 4 through the bank's first CECL adoption, on budget and ahead of the SEC filing deadline.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542" w:hanging="292"/>
        <w:jc w:val="left"/>
        <w:rPr>
          <w:sz w:val="18"/>
        </w:rPr>
      </w:pPr>
      <w:r>
        <w:rPr>
          <w:w w:val="105"/>
          <w:sz w:val="18"/>
        </w:rPr>
        <w:t>Drafted the internal control over financial reporting opinion for two ICFR clients during my last busy season.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5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Recognized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performer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row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assurance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practice.</w:t>
      </w:r>
    </w:p>
    <w:p>
      <w:pPr>
        <w:pStyle w:val="BodyText"/>
        <w:spacing w:before="153"/>
        <w:ind w:left="164"/>
      </w:pPr>
      <w:r>
        <w:rPr>
          <w:w w:val="105"/>
        </w:rPr>
        <w:t>2016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Heading2"/>
      </w:pPr>
      <w:r>
        <w:rPr/>
        <w:t>Senior</w:t>
      </w:r>
      <w:r>
        <w:rPr>
          <w:spacing w:val="-1"/>
        </w:rPr>
        <w:t> </w:t>
      </w:r>
      <w:r>
        <w:rPr/>
        <w:t>Internal</w:t>
      </w:r>
      <w:r>
        <w:rPr>
          <w:spacing w:val="-8"/>
        </w:rPr>
        <w:t> </w:t>
      </w:r>
      <w:r>
        <w:rPr/>
        <w:t>Auditor,</w:t>
      </w:r>
      <w:r>
        <w:rPr>
          <w:spacing w:val="-1"/>
        </w:rPr>
        <w:t> </w:t>
      </w:r>
      <w:r>
        <w:rPr/>
        <w:t>MedReach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Systems,</w:t>
      </w:r>
      <w:r>
        <w:rPr>
          <w:spacing w:val="-1"/>
        </w:rPr>
        <w:t> </w:t>
      </w:r>
      <w:r>
        <w:rPr/>
        <w:t>Tampa, </w:t>
      </w:r>
      <w:r>
        <w:rPr>
          <w:spacing w:val="-5"/>
        </w:rPr>
        <w:t>FL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4" w:after="0"/>
        <w:ind w:left="926" w:right="435" w:hanging="292"/>
        <w:jc w:val="left"/>
        <w:rPr>
          <w:sz w:val="18"/>
        </w:rPr>
      </w:pPr>
      <w:r>
        <w:rPr>
          <w:w w:val="105"/>
          <w:sz w:val="18"/>
        </w:rPr>
        <w:t>Built the operational audit plan for a 9-hospital system, including coding,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denials, and physician contracting.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173" w:hanging="292"/>
        <w:jc w:val="left"/>
        <w:rPr>
          <w:sz w:val="18"/>
        </w:rPr>
      </w:pPr>
      <w:r>
        <w:rPr>
          <w:w w:val="105"/>
          <w:sz w:val="18"/>
        </w:rPr>
        <w:t>Surfaced $1.8M in lost charge capture across three service lines, partnered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with revenue cycle to fix the workflow.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04" w:after="0"/>
        <w:ind w:left="926" w:right="623" w:hanging="292"/>
        <w:jc w:val="left"/>
        <w:rPr>
          <w:sz w:val="18"/>
        </w:rPr>
      </w:pPr>
      <w:r>
        <w:rPr>
          <w:w w:val="105"/>
          <w:sz w:val="18"/>
        </w:rPr>
        <w:t>Led the conversion to AuditBoard from a SharePoint-based program in under 6 months.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263" w:hanging="292"/>
        <w:jc w:val="left"/>
        <w:rPr>
          <w:sz w:val="18"/>
        </w:rPr>
      </w:pPr>
      <w:r>
        <w:rPr>
          <w:w w:val="105"/>
          <w:sz w:val="18"/>
        </w:rPr>
        <w:t>Presented quarterly to the Audit Committee, including two private sessions without management present.</w:t>
      </w:r>
    </w:p>
    <w:p>
      <w:pPr>
        <w:pStyle w:val="BodyText"/>
        <w:spacing w:before="120"/>
        <w:ind w:left="164"/>
      </w:pPr>
      <w:r>
        <w:rPr>
          <w:w w:val="105"/>
        </w:rPr>
        <w:t>2014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Heading2"/>
      </w:pPr>
      <w:r>
        <w:rPr/>
        <w:t>Staff</w:t>
      </w:r>
      <w:r>
        <w:rPr>
          <w:spacing w:val="-7"/>
        </w:rPr>
        <w:t> </w:t>
      </w:r>
      <w:r>
        <w:rPr/>
        <w:t>Auditor, KPMG</w:t>
      </w:r>
      <w:r>
        <w:rPr>
          <w:spacing w:val="-1"/>
        </w:rPr>
        <w:t> </w:t>
      </w:r>
      <w:r>
        <w:rPr/>
        <w:t>(regional office),</w:t>
      </w:r>
      <w:r>
        <w:rPr>
          <w:spacing w:val="-6"/>
        </w:rPr>
        <w:t> </w:t>
      </w:r>
      <w:r>
        <w:rPr/>
        <w:t>Atlanta,</w:t>
      </w:r>
      <w:r>
        <w:rPr>
          <w:spacing w:val="-1"/>
        </w:rPr>
        <w:t> </w:t>
      </w:r>
      <w:r>
        <w:rPr>
          <w:spacing w:val="-5"/>
        </w:rPr>
        <w:t>GA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54" w:after="0"/>
        <w:ind w:left="926" w:right="316" w:hanging="292"/>
        <w:jc w:val="left"/>
        <w:rPr>
          <w:sz w:val="18"/>
        </w:rPr>
      </w:pPr>
      <w:r>
        <w:rPr>
          <w:w w:val="105"/>
          <w:sz w:val="18"/>
        </w:rPr>
        <w:t>Started in financial services audit, rotated into the IT audit practice in year</w:t>
      </w:r>
      <w:r>
        <w:rPr>
          <w:spacing w:val="40"/>
          <w:w w:val="105"/>
          <w:sz w:val="18"/>
        </w:rPr>
        <w:t> </w:t>
      </w:r>
      <w:r>
        <w:rPr>
          <w:spacing w:val="-4"/>
          <w:w w:val="105"/>
          <w:sz w:val="18"/>
        </w:rPr>
        <w:t>two.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439" w:hanging="292"/>
        <w:jc w:val="left"/>
        <w:rPr>
          <w:sz w:val="18"/>
        </w:rPr>
      </w:pPr>
      <w:r>
        <w:rPr>
          <w:w w:val="105"/>
          <w:sz w:val="18"/>
        </w:rPr>
        <w:t>Tested ITGC for 6 broker-dealer and insurance clients, including access, change, and operations.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5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CPA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license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start</w:t>
      </w:r>
      <w:r>
        <w:rPr>
          <w:spacing w:val="8"/>
          <w:w w:val="105"/>
          <w:sz w:val="18"/>
        </w:rPr>
        <w:t> </w:t>
      </w:r>
      <w:r>
        <w:rPr>
          <w:spacing w:val="-4"/>
          <w:w w:val="105"/>
          <w:sz w:val="18"/>
        </w:rPr>
        <w:t>date.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Coached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interns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who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received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accepted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full-time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offers.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283" w:right="283"/>
          <w:cols w:num="2" w:equalWidth="0">
            <w:col w:w="3128" w:space="574"/>
            <w:col w:w="7652"/>
          </w:cols>
        </w:sectPr>
      </w:pPr>
    </w:p>
    <w:p>
      <w:pPr>
        <w:pStyle w:val="Heading1"/>
        <w:spacing w:before="202"/>
        <w:ind w:left="37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76187</wp:posOffset>
                </wp:positionH>
                <wp:positionV relativeFrom="page">
                  <wp:posOffset>0</wp:posOffset>
                </wp:positionV>
                <wp:extent cx="2286000" cy="107061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2860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0706100">
                              <a:moveTo>
                                <a:pt x="2286000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286000" y="10706087"/>
                              </a:lnTo>
                              <a:lnTo>
                                <a:pt x="2286000" y="8096250"/>
                              </a:lnTo>
                              <a:lnTo>
                                <a:pt x="2286000" y="2609850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.999pt;margin-top:-.000035pt;width:180pt;height:843pt;mso-position-horizontal-relative:page;mso-position-vertical-relative:page;z-index:-15800320" id="docshape1" coordorigin="120,0" coordsize="3600,16860" path="m3720,0l120,0,120,4110,120,12750,120,16860,3720,16860,3720,12750,3720,4110,372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76499" y="0"/>
                            <a:ext cx="50920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2295525">
                                <a:moveTo>
                                  <a:pt x="0" y="2295524"/>
                                </a:moveTo>
                                <a:lnTo>
                                  <a:pt x="5091683" y="2295524"/>
                                </a:lnTo>
                                <a:lnTo>
                                  <a:pt x="5091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199" y="552536"/>
                            <a:ext cx="2286000" cy="982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9829800">
                                <a:moveTo>
                                  <a:pt x="2285999" y="9829713"/>
                                </a:moveTo>
                                <a:lnTo>
                                  <a:pt x="0" y="9829713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9829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8671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0037" y="4705349"/>
                            <a:ext cx="47625" cy="27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714625">
                                <a:moveTo>
                                  <a:pt x="47625" y="2687472"/>
                                </a:moveTo>
                                <a:lnTo>
                                  <a:pt x="27165" y="2667000"/>
                                </a:lnTo>
                                <a:lnTo>
                                  <a:pt x="20472" y="2667000"/>
                                </a:lnTo>
                                <a:lnTo>
                                  <a:pt x="0" y="2687472"/>
                                </a:lnTo>
                                <a:lnTo>
                                  <a:pt x="0" y="2691041"/>
                                </a:lnTo>
                                <a:lnTo>
                                  <a:pt x="0" y="2694165"/>
                                </a:lnTo>
                                <a:lnTo>
                                  <a:pt x="20472" y="2714625"/>
                                </a:lnTo>
                                <a:lnTo>
                                  <a:pt x="27165" y="2714625"/>
                                </a:lnTo>
                                <a:lnTo>
                                  <a:pt x="47625" y="2694165"/>
                                </a:lnTo>
                                <a:lnTo>
                                  <a:pt x="47625" y="2687472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2335047"/>
                                </a:moveTo>
                                <a:lnTo>
                                  <a:pt x="27165" y="2314575"/>
                                </a:lnTo>
                                <a:lnTo>
                                  <a:pt x="20472" y="2314575"/>
                                </a:lnTo>
                                <a:lnTo>
                                  <a:pt x="0" y="2335047"/>
                                </a:lnTo>
                                <a:lnTo>
                                  <a:pt x="0" y="2338616"/>
                                </a:lnTo>
                                <a:lnTo>
                                  <a:pt x="0" y="2341740"/>
                                </a:lnTo>
                                <a:lnTo>
                                  <a:pt x="20472" y="2362200"/>
                                </a:lnTo>
                                <a:lnTo>
                                  <a:pt x="27165" y="2362200"/>
                                </a:lnTo>
                                <a:lnTo>
                                  <a:pt x="47625" y="2341740"/>
                                </a:lnTo>
                                <a:lnTo>
                                  <a:pt x="47625" y="2335047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378485"/>
                                </a:moveTo>
                                <a:lnTo>
                                  <a:pt x="31102" y="361950"/>
                                </a:lnTo>
                                <a:lnTo>
                                  <a:pt x="16535" y="361950"/>
                                </a:lnTo>
                                <a:lnTo>
                                  <a:pt x="0" y="378485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3527"/>
                                </a:lnTo>
                                <a:lnTo>
                                  <a:pt x="16535" y="400050"/>
                                </a:lnTo>
                                <a:lnTo>
                                  <a:pt x="31102" y="400050"/>
                                </a:lnTo>
                                <a:lnTo>
                                  <a:pt x="47625" y="383527"/>
                                </a:lnTo>
                                <a:lnTo>
                                  <a:pt x="47625" y="378485"/>
                                </a:lnTo>
                                <a:close/>
                              </a:path>
                              <a:path w="47625" h="27146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799808" id="docshapegroup2" coordorigin="0,0" coordsize="11919,16350">
                <v:rect style="position:absolute;left:3900;top:0;width:8019;height:3615" id="docshape3" filled="true" fillcolor="#424242" stroked="false">
                  <v:fill opacity="32899f" type="solid"/>
                </v:rect>
                <v:rect style="position:absolute;left:0;top:0;width:3900;height:3615" id="docshape4" filled="true" fillcolor="#ffffff" stroked="false">
                  <v:fill type="solid"/>
                </v:rect>
                <v:rect style="position:absolute;left:0;top:0;width:3900;height:3615" id="docshape5" filled="true" fillcolor="#424242" stroked="false">
                  <v:fill opacity="32899f" type="solid"/>
                </v:rect>
                <v:shape style="position:absolute;left:120;top:870;width:3600;height:15480" id="docshape6" coordorigin="120,870" coordsize="3600,15480" path="m3720,16350l120,16350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6350xe" filled="true" fillcolor="#424242" stroked="false">
                  <v:path arrowok="t"/>
                  <v:fill type="solid"/>
                </v:shape>
                <v:shape style="position:absolute;left:322;top:1117;width:3195;height:3195" id="docshape7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8" stroked="false">
                  <v:imagedata r:id="rId6" o:title=""/>
                </v:shape>
                <v:shape style="position:absolute;left:630;top:5085;width:317;height:317" type="#_x0000_t75" id="docshape9" stroked="false">
                  <v:imagedata r:id="rId7" o:title=""/>
                </v:shape>
                <v:shape style="position:absolute;left:650;top:5580;width:275;height:317" type="#_x0000_t75" id="docshape10" stroked="false">
                  <v:imagedata r:id="rId8" o:title=""/>
                </v:shape>
                <v:shape style="position:absolute;left:631;top:6090;width:315;height:317" type="#_x0000_t75" id="docshape11" stroked="false">
                  <v:imagedata r:id="rId9" o:title=""/>
                </v:shape>
                <v:shape style="position:absolute;left:629;top:7410;width:75;height:4275" id="docshape12" coordorigin="630,7410" coordsize="75,4275" path="m705,11642l704,11637,700,11628,698,11624,691,11617,687,11615,678,11611,673,11610,662,11610,657,11611,648,11615,644,11617,637,11624,635,11628,631,11637,630,11642,630,11648,630,11653,631,11658,635,11667,637,11671,644,11678,648,11680,657,11684,662,11685,673,11685,678,11684,687,11680,691,11678,698,11671,700,11667,704,11658,705,11653,705,11642xm705,11087l704,11082,700,11073,698,11069,691,11062,687,11060,678,11056,673,11055,662,11055,657,11056,648,11060,644,11062,637,11069,635,11073,631,11082,630,11087,630,11093,630,11098,631,11103,635,11112,637,11116,644,11123,648,11125,657,11129,662,11130,673,11130,678,11129,687,11125,691,11123,698,11116,700,11112,704,11103,705,11098,705,11087xm705,10757l704,10752,700,10743,698,10739,691,10732,687,10730,678,10726,673,10725,662,10725,657,10726,648,10730,644,10732,637,10739,635,10743,631,10752,630,10757,630,10763,630,10768,631,10773,635,10782,637,10786,644,10793,648,10795,657,10799,662,10800,673,10800,678,10799,687,10795,691,10793,698,10786,700,10782,704,10773,705,10768,705,10757xm705,10427l704,10422,700,10413,698,10409,691,10402,687,10400,678,10396,673,10395,662,10395,657,10396,648,10400,644,10402,637,10409,635,10413,631,10422,630,10427,630,10433,630,10438,631,10443,635,10452,637,10456,644,10463,648,10465,657,10469,662,10470,673,10470,678,10469,687,10465,691,10463,698,10456,700,10452,704,10443,705,10438,705,10427xm705,9872l704,9867,700,9858,698,9854,691,9847,687,9845,678,9841,673,9840,662,9840,657,9841,648,9845,644,9847,637,9854,635,9858,631,9867,630,9872,630,9878,630,9883,631,9888,635,9897,637,9901,644,9908,648,9910,657,9914,662,9915,673,9915,678,9914,687,9910,691,9908,698,9901,700,9897,704,9888,705,9883,705,9872xm705,9542l704,9537,700,9528,698,9524,691,9517,687,9515,678,9511,673,9510,662,9510,657,9511,648,9515,644,9517,637,9524,635,9528,631,9537,630,9542,630,9548,630,9553,631,9558,635,9567,637,9571,644,9578,648,9580,657,9584,662,9585,673,9585,678,9584,687,9580,691,9578,698,9571,700,9567,704,9558,705,9553,705,9542xm705,8987l704,8982,700,8973,698,8969,691,8962,687,8960,678,8956,673,8955,662,8955,657,8956,648,8960,644,8962,637,8969,635,8973,631,8982,630,8987,630,8993,630,8998,631,9003,635,9012,637,9016,644,9023,648,9025,657,9029,662,9030,673,9030,678,9029,687,9025,691,9023,698,9016,700,9012,704,9003,705,8998,705,8987xm705,8657l704,8652,700,8643,698,8639,691,8632,687,8630,678,8626,673,8625,662,8625,657,8626,648,8630,644,8632,637,8639,635,8643,631,8652,630,8657,630,8663,630,8668,631,8673,635,8682,637,8686,644,8693,648,8695,657,8699,662,8700,673,8700,678,8699,687,8695,691,8693,698,8686,700,8682,704,8673,705,8668,705,8657xm705,8327l704,8322,700,8313,698,8309,691,8302,687,8300,678,8296,673,8295,662,8295,657,8296,648,8300,644,8302,637,8309,635,8313,631,8322,630,8327,630,8333,630,8338,631,8343,635,8352,637,8356,644,8363,648,8365,657,8369,662,8370,673,8370,678,8369,687,8365,691,8363,698,8356,700,8352,704,8343,705,8338,705,8327xm705,8006l704,8002,701,7995,699,7992,693,7986,690,7984,683,7981,679,7980,656,7980,652,7981,645,7984,642,7986,636,7992,634,7995,631,8002,630,8006,630,8010,630,8014,631,8018,634,8025,636,8028,642,8034,645,8036,652,8039,656,8040,679,8040,683,8039,690,8036,693,8034,699,8028,701,8025,704,8018,705,8014,705,8006xm705,7442l704,7437,700,7428,698,7424,691,7417,687,7415,678,7411,673,7410,662,7410,657,7411,648,7415,644,7417,637,7424,635,7428,631,7437,630,7442,630,7448,630,7453,631,7458,635,7467,637,7471,644,7478,648,7480,657,7484,662,7485,673,7485,678,7484,687,7480,691,7478,698,7471,700,7467,704,7458,705,7453,705,74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</w:rPr>
        <w:t>EDUCATION</w:t>
      </w:r>
    </w:p>
    <w:p>
      <w:pPr>
        <w:pStyle w:val="Heading1"/>
        <w:spacing w:after="0"/>
        <w:sectPr>
          <w:type w:val="continuous"/>
          <w:pgSz w:w="11920" w:h="16860"/>
          <w:pgMar w:top="0" w:bottom="0" w:left="283" w:right="283"/>
        </w:sectPr>
      </w:pPr>
    </w:p>
    <w:p>
      <w:pPr>
        <w:pStyle w:val="BodyText"/>
        <w:spacing w:before="0"/>
        <w:ind w:left="0"/>
        <w:rPr>
          <w:rFonts w:ascii="Tahoma"/>
          <w:b/>
        </w:rPr>
      </w:pPr>
      <w:r>
        <w:rPr>
          <w:rFonts w:ascii="Tahoma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76187</wp:posOffset>
                </wp:positionH>
                <wp:positionV relativeFrom="page">
                  <wp:posOffset>0</wp:posOffset>
                </wp:positionV>
                <wp:extent cx="2286000" cy="107061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2860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0706100">
                              <a:moveTo>
                                <a:pt x="2286000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286000" y="10706087"/>
                              </a:lnTo>
                              <a:lnTo>
                                <a:pt x="2286000" y="8096250"/>
                              </a:lnTo>
                              <a:lnTo>
                                <a:pt x="2286000" y="2609850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.999pt;margin-top:-.000035pt;width:180pt;height:843pt;mso-position-horizontal-relative:page;mso-position-vertical-relative:page;z-index:-15799296" id="docshape13" coordorigin="120,0" coordsize="3600,16860" path="m3720,0l120,0,120,4110,120,12750,120,16860,3720,16860,3720,12750,3720,4110,372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177"/>
        <w:ind w:left="0"/>
        <w:rPr>
          <w:rFonts w:ascii="Tahoma"/>
          <w:b/>
        </w:rPr>
      </w:pPr>
    </w:p>
    <w:p>
      <w:pPr>
        <w:spacing w:before="0"/>
        <w:ind w:left="3865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MBA,</w:t>
      </w:r>
      <w:r>
        <w:rPr>
          <w:rFonts w:ascii="Tahoma"/>
          <w:b/>
          <w:spacing w:val="14"/>
          <w:sz w:val="18"/>
        </w:rPr>
        <w:t> </w:t>
      </w:r>
      <w:r>
        <w:rPr>
          <w:rFonts w:ascii="Tahoma"/>
          <w:b/>
          <w:sz w:val="18"/>
        </w:rPr>
        <w:t>University</w:t>
      </w:r>
      <w:r>
        <w:rPr>
          <w:rFonts w:ascii="Tahoma"/>
          <w:b/>
          <w:spacing w:val="14"/>
          <w:sz w:val="18"/>
        </w:rPr>
        <w:t> </w:t>
      </w:r>
      <w:r>
        <w:rPr>
          <w:rFonts w:ascii="Tahoma"/>
          <w:b/>
          <w:sz w:val="18"/>
        </w:rPr>
        <w:t>of</w:t>
      </w:r>
      <w:r>
        <w:rPr>
          <w:rFonts w:ascii="Tahoma"/>
          <w:b/>
          <w:spacing w:val="14"/>
          <w:sz w:val="18"/>
        </w:rPr>
        <w:t> </w:t>
      </w:r>
      <w:r>
        <w:rPr>
          <w:rFonts w:ascii="Tahoma"/>
          <w:b/>
          <w:sz w:val="18"/>
        </w:rPr>
        <w:t>Florida,</w:t>
      </w:r>
      <w:r>
        <w:rPr>
          <w:rFonts w:ascii="Tahoma"/>
          <w:b/>
          <w:spacing w:val="14"/>
          <w:sz w:val="18"/>
        </w:rPr>
        <w:t> </w:t>
      </w:r>
      <w:r>
        <w:rPr>
          <w:rFonts w:ascii="Tahoma"/>
          <w:b/>
          <w:spacing w:val="-4"/>
          <w:sz w:val="18"/>
        </w:rPr>
        <w:t>2018</w:t>
      </w:r>
    </w:p>
    <w:p>
      <w:pPr>
        <w:spacing w:line="398" w:lineRule="auto" w:before="143"/>
        <w:ind w:left="3865" w:right="3279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w:t>BBA</w:t>
      </w:r>
      <w:r>
        <w:rPr>
          <w:rFonts w:ascii="Tahoma"/>
          <w:b/>
          <w:spacing w:val="-1"/>
          <w:sz w:val="18"/>
        </w:rPr>
        <w:t> </w:t>
      </w:r>
      <w:r>
        <w:rPr>
          <w:rFonts w:ascii="Tahoma"/>
          <w:b/>
          <w:sz w:val="18"/>
        </w:rPr>
        <w:t>Accounting, University of Georgia, 2014 Certified Public Accountant (FL), 2015 Certified Information Systems Auditor, 2019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926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Tahoma" w:hAnsi="Tahoma" w:eastAsia="Tahoma" w:cs="Tahoma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1"/>
      <w:ind w:left="164"/>
      <w:outlineLvl w:val="2"/>
    </w:pPr>
    <w:rPr>
      <w:rFonts w:ascii="Tahoma" w:hAnsi="Tahoma" w:eastAsia="Tahoma" w:cs="Tahoma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krasnov@email.com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2026-07-16T02:06:37Z</dcterms:created>
  <dcterms:modified xsi:type="dcterms:W3CDTF">2026-07-16T02:06:37Z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