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72"/>
        <w:ind w:firstLine="0"/>
        <w:rPr>
          <w:rFonts w:ascii="Times New Roman"/>
          <w:sz w:val="74"/>
        </w:rPr>
      </w:pPr>
      <w:r>
        <w:rPr>
          <w:rFonts w:ascii="Times New Roman"/>
          <w:sz w:val="74"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7381874</wp:posOffset>
                </wp:positionH>
                <wp:positionV relativeFrom="page">
                  <wp:posOffset>0</wp:posOffset>
                </wp:positionV>
                <wp:extent cx="186690" cy="1070483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186690" cy="10704830"/>
                          <a:chExt cx="186690" cy="1070483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186690" cy="260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6690" h="2609850">
                                <a:moveTo>
                                  <a:pt x="0" y="2609849"/>
                                </a:moveTo>
                                <a:lnTo>
                                  <a:pt x="186309" y="2609849"/>
                                </a:lnTo>
                                <a:lnTo>
                                  <a:pt x="18630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098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C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-11" y="11"/>
                            <a:ext cx="186690" cy="1070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6690" h="10704830">
                                <a:moveTo>
                                  <a:pt x="1863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09850"/>
                                </a:lnTo>
                                <a:lnTo>
                                  <a:pt x="0" y="10382237"/>
                                </a:lnTo>
                                <a:lnTo>
                                  <a:pt x="0" y="10704563"/>
                                </a:lnTo>
                                <a:lnTo>
                                  <a:pt x="186309" y="10704563"/>
                                </a:lnTo>
                                <a:lnTo>
                                  <a:pt x="186309" y="10382237"/>
                                </a:lnTo>
                                <a:lnTo>
                                  <a:pt x="186309" y="2609850"/>
                                </a:lnTo>
                                <a:lnTo>
                                  <a:pt x="1863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548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1.249939pt;margin-top:.000028pt;width:14.7pt;height:842.9pt;mso-position-horizontal-relative:page;mso-position-vertical-relative:page;z-index:15730176" id="docshapegroup1" coordorigin="11625,0" coordsize="294,16858">
                <v:rect style="position:absolute;left:11625;top:0;width:294;height:4110" id="docshape2" filled="true" fillcolor="#acaaaa" stroked="false">
                  <v:fill type="solid"/>
                </v:rect>
                <v:shape style="position:absolute;left:11624;top:0;width:294;height:16858" id="docshape3" coordorigin="11625,0" coordsize="294,16858" path="m11918,0l11625,0,11625,4110,11625,16350,11625,16858,11918,16858,11918,16350,11918,4110,11918,0xe" filled="true" fillcolor="#000000" stroked="false">
                  <v:path arrowok="t"/>
                  <v:fill opacity="35979f" type="solid"/>
                </v:shape>
                <w10:wrap type="none"/>
              </v:group>
            </w:pict>
          </mc:Fallback>
        </mc:AlternateContent>
      </w:r>
    </w:p>
    <w:p>
      <w:pPr>
        <w:spacing w:before="0"/>
        <w:ind w:left="84" w:right="0" w:firstLine="0"/>
        <w:jc w:val="left"/>
        <w:rPr>
          <w:sz w:val="74"/>
        </w:rPr>
      </w:pPr>
      <w:r>
        <w:rPr>
          <w:sz w:val="74"/>
        </w:rPr>
        <w:t>Sandra</w:t>
      </w:r>
      <w:r>
        <w:rPr>
          <w:spacing w:val="-17"/>
          <w:sz w:val="74"/>
        </w:rPr>
        <w:t> </w:t>
      </w:r>
      <w:r>
        <w:rPr>
          <w:spacing w:val="-2"/>
          <w:sz w:val="74"/>
        </w:rPr>
        <w:t>Thompson</w:t>
      </w:r>
    </w:p>
    <w:p>
      <w:pPr>
        <w:spacing w:before="237"/>
        <w:ind w:left="270" w:right="0" w:firstLine="0"/>
        <w:jc w:val="left"/>
        <w:rPr>
          <w:sz w:val="22"/>
        </w:rPr>
      </w:pPr>
      <w:r>
        <w:rPr>
          <w:sz w:val="22"/>
        </w:rPr>
        <w:t>Investment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Banking</w:t>
      </w:r>
    </w:p>
    <w:p>
      <w:pPr>
        <w:pStyle w:val="BodyText"/>
        <w:spacing w:before="49"/>
        <w:ind w:firstLine="0"/>
        <w:rPr>
          <w:sz w:val="22"/>
        </w:rPr>
      </w:pPr>
    </w:p>
    <w:p>
      <w:pPr>
        <w:spacing w:before="0"/>
        <w:ind w:left="270" w:right="0" w:firstLine="0"/>
        <w:jc w:val="left"/>
        <w:rPr>
          <w:sz w:val="22"/>
        </w:rPr>
      </w:pPr>
      <w:r>
        <w:rPr>
          <w:sz w:val="22"/>
        </w:rPr>
        <w:t>Boston,</w:t>
      </w:r>
      <w:r>
        <w:rPr>
          <w:spacing w:val="1"/>
          <w:sz w:val="22"/>
        </w:rPr>
        <w:t> </w:t>
      </w:r>
      <w:r>
        <w:rPr>
          <w:sz w:val="22"/>
        </w:rPr>
        <w:t>MA</w:t>
      </w:r>
      <w:r>
        <w:rPr>
          <w:spacing w:val="-10"/>
          <w:sz w:val="22"/>
        </w:rPr>
        <w:t> </w:t>
      </w:r>
      <w:r>
        <w:rPr>
          <w:sz w:val="22"/>
        </w:rPr>
        <w:t>12345</w:t>
      </w:r>
      <w:r>
        <w:rPr>
          <w:spacing w:val="15"/>
          <w:sz w:val="22"/>
        </w:rPr>
        <w:t> </w:t>
      </w:r>
      <w:r>
        <w:rPr>
          <w:rFonts w:ascii="Nueva Std Extended"/>
          <w:sz w:val="24"/>
        </w:rPr>
        <w:t>|</w:t>
      </w:r>
      <w:r>
        <w:rPr>
          <w:rFonts w:ascii="Nueva Std Extended"/>
          <w:spacing w:val="18"/>
          <w:sz w:val="24"/>
        </w:rPr>
        <w:t> </w:t>
      </w:r>
      <w:r>
        <w:rPr>
          <w:sz w:val="22"/>
        </w:rPr>
        <w:t>(617)</w:t>
      </w:r>
      <w:r>
        <w:rPr>
          <w:spacing w:val="2"/>
          <w:sz w:val="22"/>
        </w:rPr>
        <w:t> </w:t>
      </w:r>
      <w:r>
        <w:rPr>
          <w:sz w:val="22"/>
        </w:rPr>
        <w:t>555-0124</w:t>
      </w:r>
      <w:r>
        <w:rPr>
          <w:spacing w:val="15"/>
          <w:sz w:val="22"/>
        </w:rPr>
        <w:t> </w:t>
      </w:r>
      <w:r>
        <w:rPr>
          <w:rFonts w:ascii="Nueva Std Extended"/>
          <w:sz w:val="24"/>
        </w:rPr>
        <w:t>|</w:t>
      </w:r>
      <w:r>
        <w:rPr>
          <w:rFonts w:ascii="Nueva Std Extended"/>
          <w:spacing w:val="18"/>
          <w:sz w:val="24"/>
        </w:rPr>
        <w:t> </w:t>
      </w:r>
      <w:hyperlink r:id="rId5">
        <w:r>
          <w:rPr>
            <w:spacing w:val="-2"/>
            <w:sz w:val="22"/>
          </w:rPr>
          <w:t>karen.yamamoto@example.com</w:t>
        </w:r>
      </w:hyperlink>
    </w:p>
    <w:p>
      <w:pPr>
        <w:pStyle w:val="BodyText"/>
        <w:spacing w:before="170"/>
        <w:ind w:firstLine="0"/>
        <w:rPr>
          <w:sz w:val="22"/>
        </w:rPr>
      </w:pPr>
    </w:p>
    <w:p>
      <w:pPr>
        <w:spacing w:before="1"/>
        <w:ind w:left="233" w:right="0" w:firstLine="0"/>
        <w:jc w:val="left"/>
        <w:rPr>
          <w:sz w:val="22"/>
        </w:rPr>
      </w:pPr>
      <w:r>
        <w:rPr>
          <w:spacing w:val="-2"/>
          <w:sz w:val="22"/>
        </w:rPr>
        <w:t>Proﬁle</w:t>
      </w:r>
    </w:p>
    <w:p>
      <w:pPr>
        <w:pStyle w:val="BodyText"/>
        <w:spacing w:before="4"/>
        <w:ind w:firstLine="0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504824</wp:posOffset>
                </wp:positionH>
                <wp:positionV relativeFrom="paragraph">
                  <wp:posOffset>113203</wp:posOffset>
                </wp:positionV>
                <wp:extent cx="6343650" cy="9525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634365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3650" h="9525">
                              <a:moveTo>
                                <a:pt x="634364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343649" y="0"/>
                              </a:lnTo>
                              <a:lnTo>
                                <a:pt x="634364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6313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9.749996pt;margin-top:8.913637pt;width:499.49996pt;height:.75pt;mso-position-horizontal-relative:page;mso-position-vertical-relative:paragraph;z-index:-15728640;mso-wrap-distance-left:0;mso-wrap-distance-right:0" id="docshape4" filled="true" fillcolor="#000000" stroked="false">
                <v:fill opacity="41379f" type="solid"/>
                <w10:wrap type="topAndBottom"/>
              </v:rect>
            </w:pict>
          </mc:Fallback>
        </mc:AlternateContent>
      </w:r>
    </w:p>
    <w:p>
      <w:pPr>
        <w:spacing w:line="271" w:lineRule="auto" w:before="114"/>
        <w:ind w:left="233" w:right="292" w:firstLine="0"/>
        <w:jc w:val="left"/>
        <w:rPr>
          <w:sz w:val="15"/>
        </w:rPr>
      </w:pPr>
      <w:r>
        <w:rPr>
          <w:sz w:val="15"/>
        </w:rPr>
        <w:t>Managing</w:t>
      </w:r>
      <w:r>
        <w:rPr>
          <w:spacing w:val="-10"/>
          <w:sz w:val="15"/>
        </w:rPr>
        <w:t> </w:t>
      </w:r>
      <w:r>
        <w:rPr>
          <w:sz w:val="15"/>
        </w:rPr>
        <w:t>Director</w:t>
      </w:r>
      <w:r>
        <w:rPr>
          <w:spacing w:val="-7"/>
          <w:sz w:val="15"/>
        </w:rPr>
        <w:t> </w:t>
      </w:r>
      <w:r>
        <w:rPr>
          <w:sz w:val="15"/>
        </w:rPr>
        <w:t>and</w:t>
      </w:r>
      <w:r>
        <w:rPr>
          <w:spacing w:val="-7"/>
          <w:sz w:val="15"/>
        </w:rPr>
        <w:t> </w:t>
      </w:r>
      <w:r>
        <w:rPr>
          <w:sz w:val="15"/>
        </w:rPr>
        <w:t>Head</w:t>
      </w:r>
      <w:r>
        <w:rPr>
          <w:spacing w:val="-7"/>
          <w:sz w:val="15"/>
        </w:rPr>
        <w:t> </w:t>
      </w:r>
      <w:r>
        <w:rPr>
          <w:sz w:val="15"/>
        </w:rPr>
        <w:t>of</w:t>
      </w:r>
      <w:r>
        <w:rPr>
          <w:spacing w:val="-7"/>
          <w:sz w:val="15"/>
        </w:rPr>
        <w:t> </w:t>
      </w:r>
      <w:r>
        <w:rPr>
          <w:sz w:val="15"/>
        </w:rPr>
        <w:t>Financial</w:t>
      </w:r>
      <w:r>
        <w:rPr>
          <w:spacing w:val="-7"/>
          <w:sz w:val="15"/>
        </w:rPr>
        <w:t> </w:t>
      </w:r>
      <w:r>
        <w:rPr>
          <w:sz w:val="15"/>
        </w:rPr>
        <w:t>Institutions</w:t>
      </w:r>
      <w:r>
        <w:rPr>
          <w:spacing w:val="-7"/>
          <w:sz w:val="15"/>
        </w:rPr>
        <w:t> </w:t>
      </w:r>
      <w:r>
        <w:rPr>
          <w:sz w:val="15"/>
        </w:rPr>
        <w:t>M&amp;A</w:t>
      </w:r>
      <w:r>
        <w:rPr>
          <w:spacing w:val="-11"/>
          <w:sz w:val="15"/>
        </w:rPr>
        <w:t> </w:t>
      </w:r>
      <w:r>
        <w:rPr>
          <w:sz w:val="15"/>
        </w:rPr>
        <w:t>with</w:t>
      </w:r>
      <w:r>
        <w:rPr>
          <w:spacing w:val="-7"/>
          <w:sz w:val="15"/>
        </w:rPr>
        <w:t> </w:t>
      </w:r>
      <w:r>
        <w:rPr>
          <w:sz w:val="15"/>
        </w:rPr>
        <w:t>22</w:t>
      </w:r>
      <w:r>
        <w:rPr>
          <w:spacing w:val="-7"/>
          <w:sz w:val="15"/>
        </w:rPr>
        <w:t> </w:t>
      </w:r>
      <w:r>
        <w:rPr>
          <w:sz w:val="15"/>
        </w:rPr>
        <w:t>years</w:t>
      </w:r>
      <w:r>
        <w:rPr>
          <w:spacing w:val="-7"/>
          <w:sz w:val="15"/>
        </w:rPr>
        <w:t> </w:t>
      </w:r>
      <w:r>
        <w:rPr>
          <w:sz w:val="15"/>
        </w:rPr>
        <w:t>of</w:t>
      </w:r>
      <w:r>
        <w:rPr>
          <w:spacing w:val="-7"/>
          <w:sz w:val="15"/>
        </w:rPr>
        <w:t> </w:t>
      </w:r>
      <w:r>
        <w:rPr>
          <w:sz w:val="15"/>
        </w:rPr>
        <w:t>advisory</w:t>
      </w:r>
      <w:r>
        <w:rPr>
          <w:spacing w:val="-7"/>
          <w:sz w:val="15"/>
        </w:rPr>
        <w:t> </w:t>
      </w:r>
      <w:r>
        <w:rPr>
          <w:sz w:val="15"/>
        </w:rPr>
        <w:t>experience</w:t>
      </w:r>
      <w:r>
        <w:rPr>
          <w:spacing w:val="-7"/>
          <w:sz w:val="15"/>
        </w:rPr>
        <w:t> </w:t>
      </w:r>
      <w:r>
        <w:rPr>
          <w:sz w:val="15"/>
        </w:rPr>
        <w:t>across</w:t>
      </w:r>
      <w:r>
        <w:rPr>
          <w:spacing w:val="-7"/>
          <w:sz w:val="15"/>
        </w:rPr>
        <w:t> </w:t>
      </w:r>
      <w:r>
        <w:rPr>
          <w:sz w:val="15"/>
        </w:rPr>
        <w:t>banks,</w:t>
      </w:r>
      <w:r>
        <w:rPr>
          <w:spacing w:val="-7"/>
          <w:sz w:val="15"/>
        </w:rPr>
        <w:t> </w:t>
      </w:r>
      <w:r>
        <w:rPr>
          <w:sz w:val="15"/>
        </w:rPr>
        <w:t>insurance,</w:t>
      </w:r>
      <w:r>
        <w:rPr>
          <w:spacing w:val="-7"/>
          <w:sz w:val="15"/>
        </w:rPr>
        <w:t> </w:t>
      </w:r>
      <w:r>
        <w:rPr>
          <w:sz w:val="15"/>
        </w:rPr>
        <w:t>and</w:t>
      </w:r>
      <w:r>
        <w:rPr>
          <w:spacing w:val="-7"/>
          <w:sz w:val="15"/>
        </w:rPr>
        <w:t> </w:t>
      </w:r>
      <w:r>
        <w:rPr>
          <w:sz w:val="15"/>
        </w:rPr>
        <w:t>asset</w:t>
      </w:r>
      <w:r>
        <w:rPr>
          <w:spacing w:val="-7"/>
          <w:sz w:val="15"/>
        </w:rPr>
        <w:t> </w:t>
      </w:r>
      <w:r>
        <w:rPr>
          <w:sz w:val="15"/>
        </w:rPr>
        <w:t>management. Closed</w:t>
      </w:r>
      <w:r>
        <w:rPr>
          <w:spacing w:val="-3"/>
          <w:sz w:val="15"/>
        </w:rPr>
        <w:t> </w:t>
      </w:r>
      <w:r>
        <w:rPr>
          <w:sz w:val="15"/>
        </w:rPr>
        <w:t>60+</w:t>
      </w:r>
      <w:r>
        <w:rPr>
          <w:spacing w:val="-3"/>
          <w:sz w:val="15"/>
        </w:rPr>
        <w:t> </w:t>
      </w:r>
      <w:r>
        <w:rPr>
          <w:sz w:val="15"/>
        </w:rPr>
        <w:t>transactions</w:t>
      </w:r>
      <w:r>
        <w:rPr>
          <w:spacing w:val="-3"/>
          <w:sz w:val="15"/>
        </w:rPr>
        <w:t> </w:t>
      </w:r>
      <w:r>
        <w:rPr>
          <w:sz w:val="15"/>
        </w:rPr>
        <w:t>totaling</w:t>
      </w:r>
      <w:r>
        <w:rPr>
          <w:spacing w:val="-3"/>
          <w:sz w:val="15"/>
        </w:rPr>
        <w:t> </w:t>
      </w:r>
      <w:r>
        <w:rPr>
          <w:sz w:val="15"/>
        </w:rPr>
        <w:t>$94B</w:t>
      </w:r>
      <w:r>
        <w:rPr>
          <w:spacing w:val="-3"/>
          <w:sz w:val="15"/>
        </w:rPr>
        <w:t> </w:t>
      </w:r>
      <w:r>
        <w:rPr>
          <w:sz w:val="15"/>
        </w:rPr>
        <w:t>in</w:t>
      </w:r>
      <w:r>
        <w:rPr>
          <w:spacing w:val="-3"/>
          <w:sz w:val="15"/>
        </w:rPr>
        <w:t> </w:t>
      </w:r>
      <w:r>
        <w:rPr>
          <w:sz w:val="15"/>
        </w:rPr>
        <w:t>announced</w:t>
      </w:r>
      <w:r>
        <w:rPr>
          <w:spacing w:val="-3"/>
          <w:sz w:val="15"/>
        </w:rPr>
        <w:t> </w:t>
      </w:r>
      <w:r>
        <w:rPr>
          <w:sz w:val="15"/>
        </w:rPr>
        <w:t>deal</w:t>
      </w:r>
      <w:r>
        <w:rPr>
          <w:spacing w:val="-3"/>
          <w:sz w:val="15"/>
        </w:rPr>
        <w:t> </w:t>
      </w:r>
      <w:r>
        <w:rPr>
          <w:sz w:val="15"/>
        </w:rPr>
        <w:t>value,</w:t>
      </w:r>
      <w:r>
        <w:rPr>
          <w:spacing w:val="-3"/>
          <w:sz w:val="15"/>
        </w:rPr>
        <w:t> </w:t>
      </w:r>
      <w:r>
        <w:rPr>
          <w:sz w:val="15"/>
        </w:rPr>
        <w:t>including</w:t>
      </w:r>
      <w:r>
        <w:rPr>
          <w:spacing w:val="-3"/>
          <w:sz w:val="15"/>
        </w:rPr>
        <w:t> </w:t>
      </w:r>
      <w:r>
        <w:rPr>
          <w:sz w:val="15"/>
        </w:rPr>
        <w:t>4</w:t>
      </w:r>
      <w:r>
        <w:rPr>
          <w:spacing w:val="-3"/>
          <w:sz w:val="15"/>
        </w:rPr>
        <w:t> </w:t>
      </w:r>
      <w:r>
        <w:rPr>
          <w:sz w:val="15"/>
        </w:rPr>
        <w:t>transformative</w:t>
      </w:r>
      <w:r>
        <w:rPr>
          <w:spacing w:val="-3"/>
          <w:sz w:val="15"/>
        </w:rPr>
        <w:t> </w:t>
      </w:r>
      <w:r>
        <w:rPr>
          <w:sz w:val="15"/>
        </w:rPr>
        <w:t>bank</w:t>
      </w:r>
      <w:r>
        <w:rPr>
          <w:spacing w:val="-3"/>
          <w:sz w:val="15"/>
        </w:rPr>
        <w:t> </w:t>
      </w:r>
      <w:r>
        <w:rPr>
          <w:sz w:val="15"/>
        </w:rPr>
        <w:t>mergers</w:t>
      </w:r>
      <w:r>
        <w:rPr>
          <w:spacing w:val="-3"/>
          <w:sz w:val="15"/>
        </w:rPr>
        <w:t> </w:t>
      </w:r>
      <w:r>
        <w:rPr>
          <w:sz w:val="15"/>
        </w:rPr>
        <w:t>north</w:t>
      </w:r>
      <w:r>
        <w:rPr>
          <w:spacing w:val="-3"/>
          <w:sz w:val="15"/>
        </w:rPr>
        <w:t> </w:t>
      </w:r>
      <w:r>
        <w:rPr>
          <w:sz w:val="15"/>
        </w:rPr>
        <w:t>of</w:t>
      </w:r>
      <w:r>
        <w:rPr>
          <w:spacing w:val="-3"/>
          <w:sz w:val="15"/>
        </w:rPr>
        <w:t> </w:t>
      </w:r>
      <w:r>
        <w:rPr>
          <w:sz w:val="15"/>
        </w:rPr>
        <w:t>$5B</w:t>
      </w:r>
      <w:r>
        <w:rPr>
          <w:spacing w:val="-3"/>
          <w:sz w:val="15"/>
        </w:rPr>
        <w:t> </w:t>
      </w:r>
      <w:r>
        <w:rPr>
          <w:sz w:val="15"/>
        </w:rPr>
        <w:t>each.</w:t>
      </w:r>
      <w:r>
        <w:rPr>
          <w:spacing w:val="-3"/>
          <w:sz w:val="15"/>
        </w:rPr>
        <w:t> </w:t>
      </w:r>
      <w:r>
        <w:rPr>
          <w:sz w:val="15"/>
        </w:rPr>
        <w:t>Lead</w:t>
      </w:r>
      <w:r>
        <w:rPr>
          <w:spacing w:val="-3"/>
          <w:sz w:val="15"/>
        </w:rPr>
        <w:t> </w:t>
      </w:r>
      <w:r>
        <w:rPr>
          <w:sz w:val="15"/>
        </w:rPr>
        <w:t>a</w:t>
      </w:r>
      <w:r>
        <w:rPr>
          <w:spacing w:val="-3"/>
          <w:sz w:val="15"/>
        </w:rPr>
        <w:t> </w:t>
      </w:r>
      <w:r>
        <w:rPr>
          <w:sz w:val="15"/>
        </w:rPr>
        <w:t>24-person execution team across Boston and New York.</w:t>
      </w:r>
    </w:p>
    <w:p>
      <w:pPr>
        <w:pStyle w:val="BodyText"/>
        <w:spacing w:before="92"/>
        <w:ind w:firstLine="0"/>
        <w:rPr>
          <w:sz w:val="15"/>
        </w:rPr>
      </w:pPr>
    </w:p>
    <w:p>
      <w:pPr>
        <w:spacing w:before="0"/>
        <w:ind w:left="233" w:right="0" w:firstLine="0"/>
        <w:jc w:val="left"/>
        <w:rPr>
          <w:sz w:val="22"/>
        </w:rPr>
      </w:pPr>
      <w:r>
        <w:rPr>
          <w:sz w:val="22"/>
        </w:rPr>
        <w:t>Professional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Experience</w:t>
      </w:r>
    </w:p>
    <w:p>
      <w:pPr>
        <w:pStyle w:val="BodyText"/>
        <w:spacing w:before="5"/>
        <w:ind w:firstLine="0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504824</wp:posOffset>
                </wp:positionH>
                <wp:positionV relativeFrom="paragraph">
                  <wp:posOffset>113544</wp:posOffset>
                </wp:positionV>
                <wp:extent cx="6477000" cy="9525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64770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 h="9525">
                              <a:moveTo>
                                <a:pt x="647699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476999" y="0"/>
                              </a:lnTo>
                              <a:lnTo>
                                <a:pt x="647699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6313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9.749996pt;margin-top:8.940534pt;width:509.999959pt;height:.75pt;mso-position-horizontal-relative:page;mso-position-vertical-relative:paragraph;z-index:-15728128;mso-wrap-distance-left:0;mso-wrap-distance-right:0" id="docshape5" filled="true" fillcolor="#000000" stroked="false">
                <v:fill opacity="41379f" type="solid"/>
                <w10:wrap type="topAndBottom"/>
              </v:rect>
            </w:pict>
          </mc:Fallback>
        </mc:AlternateContent>
      </w:r>
    </w:p>
    <w:p>
      <w:pPr>
        <w:tabs>
          <w:tab w:pos="9124" w:val="left" w:leader="none"/>
        </w:tabs>
        <w:spacing w:before="90"/>
        <w:ind w:left="233" w:right="0" w:firstLine="0"/>
        <w:jc w:val="left"/>
        <w:rPr>
          <w:rFonts w:ascii="Tahoma" w:hAnsi="Tahoma"/>
          <w:b/>
          <w:position w:val="3"/>
          <w:sz w:val="18"/>
        </w:rPr>
      </w:pPr>
      <w:r>
        <w:rPr>
          <w:rFonts w:ascii="Tahoma" w:hAnsi="Tahoma"/>
          <w:b/>
          <w:spacing w:val="-2"/>
          <w:sz w:val="18"/>
        </w:rPr>
        <w:t>Managing</w:t>
      </w:r>
      <w:r>
        <w:rPr>
          <w:rFonts w:ascii="Tahoma" w:hAnsi="Tahoma"/>
          <w:b/>
          <w:spacing w:val="-7"/>
          <w:sz w:val="18"/>
        </w:rPr>
        <w:t> </w:t>
      </w:r>
      <w:r>
        <w:rPr>
          <w:rFonts w:ascii="Tahoma" w:hAnsi="Tahoma"/>
          <w:b/>
          <w:spacing w:val="-2"/>
          <w:sz w:val="18"/>
        </w:rPr>
        <w:t>Director,</w:t>
      </w:r>
      <w:r>
        <w:rPr>
          <w:rFonts w:ascii="Tahoma" w:hAnsi="Tahoma"/>
          <w:b/>
          <w:spacing w:val="-7"/>
          <w:sz w:val="18"/>
        </w:rPr>
        <w:t> </w:t>
      </w:r>
      <w:r>
        <w:rPr>
          <w:rFonts w:ascii="Tahoma" w:hAnsi="Tahoma"/>
          <w:b/>
          <w:spacing w:val="-2"/>
          <w:sz w:val="18"/>
        </w:rPr>
        <w:t>Head</w:t>
      </w:r>
      <w:r>
        <w:rPr>
          <w:rFonts w:ascii="Tahoma" w:hAnsi="Tahoma"/>
          <w:b/>
          <w:spacing w:val="-7"/>
          <w:sz w:val="18"/>
        </w:rPr>
        <w:t> </w:t>
      </w:r>
      <w:r>
        <w:rPr>
          <w:rFonts w:ascii="Tahoma" w:hAnsi="Tahoma"/>
          <w:b/>
          <w:spacing w:val="-2"/>
          <w:sz w:val="18"/>
        </w:rPr>
        <w:t>of</w:t>
      </w:r>
      <w:r>
        <w:rPr>
          <w:rFonts w:ascii="Tahoma" w:hAnsi="Tahoma"/>
          <w:b/>
          <w:spacing w:val="-6"/>
          <w:sz w:val="18"/>
        </w:rPr>
        <w:t> </w:t>
      </w:r>
      <w:r>
        <w:rPr>
          <w:rFonts w:ascii="Tahoma" w:hAnsi="Tahoma"/>
          <w:b/>
          <w:spacing w:val="-2"/>
          <w:sz w:val="18"/>
        </w:rPr>
        <w:t>FIG</w:t>
      </w:r>
      <w:r>
        <w:rPr>
          <w:rFonts w:ascii="Tahoma" w:hAnsi="Tahoma"/>
          <w:b/>
          <w:spacing w:val="-7"/>
          <w:sz w:val="18"/>
        </w:rPr>
        <w:t> </w:t>
      </w:r>
      <w:r>
        <w:rPr>
          <w:rFonts w:ascii="Tahoma" w:hAnsi="Tahoma"/>
          <w:b/>
          <w:spacing w:val="-2"/>
          <w:sz w:val="18"/>
        </w:rPr>
        <w:t>M&amp;A</w:t>
      </w:r>
      <w:r>
        <w:rPr>
          <w:rFonts w:ascii="Tahoma" w:hAnsi="Tahoma"/>
          <w:b/>
          <w:spacing w:val="14"/>
          <w:sz w:val="18"/>
        </w:rPr>
        <w:t> </w:t>
      </w:r>
      <w:r>
        <w:rPr>
          <w:rFonts w:ascii="Nueva Std Extended" w:hAnsi="Nueva Std Extended"/>
          <w:spacing w:val="-2"/>
          <w:sz w:val="20"/>
        </w:rPr>
        <w:t>|</w:t>
      </w:r>
      <w:r>
        <w:rPr>
          <w:rFonts w:ascii="Nueva Std Extended" w:hAnsi="Nueva Std Extended"/>
          <w:spacing w:val="19"/>
          <w:sz w:val="20"/>
        </w:rPr>
        <w:t> </w:t>
      </w:r>
      <w:r>
        <w:rPr>
          <w:rFonts w:ascii="Tahoma" w:hAnsi="Tahoma"/>
          <w:b/>
          <w:spacing w:val="-2"/>
          <w:sz w:val="18"/>
        </w:rPr>
        <w:t>Pemberton</w:t>
      </w:r>
      <w:r>
        <w:rPr>
          <w:rFonts w:ascii="Tahoma" w:hAnsi="Tahoma"/>
          <w:b/>
          <w:spacing w:val="-7"/>
          <w:sz w:val="18"/>
        </w:rPr>
        <w:t> </w:t>
      </w:r>
      <w:r>
        <w:rPr>
          <w:rFonts w:ascii="Tahoma" w:hAnsi="Tahoma"/>
          <w:b/>
          <w:spacing w:val="-2"/>
          <w:sz w:val="18"/>
        </w:rPr>
        <w:t>Sage</w:t>
      </w:r>
      <w:r>
        <w:rPr>
          <w:rFonts w:ascii="Tahoma" w:hAnsi="Tahoma"/>
          <w:b/>
          <w:spacing w:val="-7"/>
          <w:sz w:val="18"/>
        </w:rPr>
        <w:t> </w:t>
      </w:r>
      <w:r>
        <w:rPr>
          <w:rFonts w:ascii="Tahoma" w:hAnsi="Tahoma"/>
          <w:b/>
          <w:spacing w:val="-2"/>
          <w:sz w:val="18"/>
        </w:rPr>
        <w:t>&amp;</w:t>
      </w:r>
      <w:r>
        <w:rPr>
          <w:rFonts w:ascii="Tahoma" w:hAnsi="Tahoma"/>
          <w:b/>
          <w:spacing w:val="-6"/>
          <w:sz w:val="18"/>
        </w:rPr>
        <w:t> </w:t>
      </w:r>
      <w:r>
        <w:rPr>
          <w:rFonts w:ascii="Tahoma" w:hAnsi="Tahoma"/>
          <w:b/>
          <w:spacing w:val="-2"/>
          <w:sz w:val="18"/>
        </w:rPr>
        <w:t>Co.,</w:t>
      </w:r>
      <w:r>
        <w:rPr>
          <w:rFonts w:ascii="Tahoma" w:hAnsi="Tahoma"/>
          <w:b/>
          <w:spacing w:val="-7"/>
          <w:sz w:val="18"/>
        </w:rPr>
        <w:t> </w:t>
      </w:r>
      <w:r>
        <w:rPr>
          <w:rFonts w:ascii="Tahoma" w:hAnsi="Tahoma"/>
          <w:b/>
          <w:spacing w:val="-2"/>
          <w:sz w:val="18"/>
        </w:rPr>
        <w:t>Boston,</w:t>
      </w:r>
      <w:r>
        <w:rPr>
          <w:rFonts w:ascii="Tahoma" w:hAnsi="Tahoma"/>
          <w:b/>
          <w:spacing w:val="-7"/>
          <w:sz w:val="18"/>
        </w:rPr>
        <w:t> </w:t>
      </w:r>
      <w:r>
        <w:rPr>
          <w:rFonts w:ascii="Tahoma" w:hAnsi="Tahoma"/>
          <w:b/>
          <w:spacing w:val="-5"/>
          <w:sz w:val="18"/>
        </w:rPr>
        <w:t>MA</w:t>
      </w:r>
      <w:r>
        <w:rPr>
          <w:rFonts w:ascii="Tahoma" w:hAnsi="Tahoma"/>
          <w:b/>
          <w:sz w:val="18"/>
        </w:rPr>
        <w:tab/>
      </w:r>
      <w:r>
        <w:rPr>
          <w:rFonts w:ascii="Tahoma" w:hAnsi="Tahoma"/>
          <w:b/>
          <w:w w:val="90"/>
          <w:position w:val="3"/>
          <w:sz w:val="18"/>
        </w:rPr>
        <w:t>2018</w:t>
      </w:r>
      <w:r>
        <w:rPr>
          <w:rFonts w:ascii="Tahoma" w:hAnsi="Tahoma"/>
          <w:b/>
          <w:spacing w:val="-4"/>
          <w:position w:val="3"/>
          <w:sz w:val="18"/>
        </w:rPr>
        <w:t> </w:t>
      </w:r>
      <w:r>
        <w:rPr>
          <w:rFonts w:ascii="Tahoma" w:hAnsi="Tahoma"/>
          <w:b/>
          <w:w w:val="90"/>
          <w:position w:val="3"/>
          <w:sz w:val="18"/>
        </w:rPr>
        <w:t>–</w:t>
      </w:r>
      <w:r>
        <w:rPr>
          <w:rFonts w:ascii="Tahoma" w:hAnsi="Tahoma"/>
          <w:b/>
          <w:spacing w:val="-3"/>
          <w:position w:val="3"/>
          <w:sz w:val="18"/>
        </w:rPr>
        <w:t> </w:t>
      </w:r>
      <w:r>
        <w:rPr>
          <w:rFonts w:ascii="Tahoma" w:hAnsi="Tahoma"/>
          <w:b/>
          <w:spacing w:val="-2"/>
          <w:w w:val="90"/>
          <w:position w:val="3"/>
          <w:sz w:val="18"/>
        </w:rPr>
        <w:t>Present</w:t>
      </w:r>
    </w:p>
    <w:p>
      <w:pPr>
        <w:pStyle w:val="BodyText"/>
        <w:spacing w:before="160"/>
        <w:ind w:firstLine="0"/>
        <w:rPr>
          <w:rFonts w:ascii="Tahoma"/>
          <w:b/>
        </w:rPr>
      </w:pPr>
    </w:p>
    <w:p>
      <w:pPr>
        <w:pStyle w:val="ListParagraph"/>
        <w:numPr>
          <w:ilvl w:val="0"/>
          <w:numId w:val="1"/>
        </w:numPr>
        <w:tabs>
          <w:tab w:pos="1700" w:val="left" w:leader="none"/>
          <w:tab w:pos="1702" w:val="left" w:leader="none"/>
        </w:tabs>
        <w:spacing w:line="216" w:lineRule="auto" w:before="1" w:after="0"/>
        <w:ind w:left="1702" w:right="285" w:hanging="298"/>
        <w:jc w:val="left"/>
        <w:rPr>
          <w:position w:val="-4"/>
          <w:sz w:val="31"/>
        </w:rPr>
      </w:pPr>
      <w:r>
        <w:rPr>
          <w:w w:val="105"/>
          <w:sz w:val="18"/>
        </w:rPr>
        <w:t>Built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FIG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M&amp;A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practice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from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6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24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bankers;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group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revenue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grew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from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roughly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$22M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$71M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annual </w:t>
      </w:r>
      <w:r>
        <w:rPr>
          <w:spacing w:val="-2"/>
          <w:w w:val="105"/>
          <w:sz w:val="18"/>
        </w:rPr>
        <w:t>fees.</w:t>
      </w:r>
    </w:p>
    <w:p>
      <w:pPr>
        <w:pStyle w:val="ListParagraph"/>
        <w:numPr>
          <w:ilvl w:val="0"/>
          <w:numId w:val="1"/>
        </w:numPr>
        <w:tabs>
          <w:tab w:pos="1700" w:val="left" w:leader="none"/>
          <w:tab w:pos="1702" w:val="left" w:leader="none"/>
        </w:tabs>
        <w:spacing w:line="216" w:lineRule="auto" w:before="93" w:after="0"/>
        <w:ind w:left="1702" w:right="459" w:hanging="298"/>
        <w:jc w:val="left"/>
        <w:rPr>
          <w:position w:val="-4"/>
          <w:sz w:val="31"/>
        </w:rPr>
      </w:pPr>
      <w:r>
        <w:rPr>
          <w:w w:val="105"/>
          <w:sz w:val="18"/>
        </w:rPr>
        <w:t>Lead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advisor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$8.4B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merger-of-equals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between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two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regional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banks,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largest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US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bank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deal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of 2022 by deposits.</w:t>
      </w:r>
    </w:p>
    <w:p>
      <w:pPr>
        <w:pStyle w:val="ListParagraph"/>
        <w:numPr>
          <w:ilvl w:val="0"/>
          <w:numId w:val="1"/>
        </w:numPr>
        <w:tabs>
          <w:tab w:pos="1700" w:val="left" w:leader="none"/>
          <w:tab w:pos="1702" w:val="left" w:leader="none"/>
        </w:tabs>
        <w:spacing w:line="201" w:lineRule="auto" w:before="107" w:after="0"/>
        <w:ind w:left="1702" w:right="351" w:hanging="298"/>
        <w:jc w:val="left"/>
        <w:rPr>
          <w:position w:val="-4"/>
          <w:sz w:val="31"/>
        </w:rPr>
      </w:pPr>
      <w:r>
        <w:rPr>
          <w:w w:val="105"/>
          <w:sz w:val="18"/>
        </w:rPr>
        <w:t>Personally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originate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60%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group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mandates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through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C-suite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board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relationships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at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40+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depository and insurance clients.</w:t>
      </w:r>
    </w:p>
    <w:p>
      <w:pPr>
        <w:pStyle w:val="ListParagraph"/>
        <w:numPr>
          <w:ilvl w:val="0"/>
          <w:numId w:val="1"/>
        </w:numPr>
        <w:tabs>
          <w:tab w:pos="1701" w:val="left" w:leader="none"/>
        </w:tabs>
        <w:spacing w:line="351" w:lineRule="exact" w:before="73" w:after="0"/>
        <w:ind w:left="1701" w:right="0" w:hanging="296"/>
        <w:jc w:val="left"/>
        <w:rPr>
          <w:position w:val="-4"/>
          <w:sz w:val="31"/>
        </w:rPr>
      </w:pPr>
      <w:r>
        <w:rPr>
          <w:spacing w:val="-2"/>
          <w:w w:val="105"/>
          <w:sz w:val="18"/>
        </w:rPr>
        <w:t>Chair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the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ﬁrm's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Fairness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Opinion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Committee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and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sit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on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the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Investment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Banking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Operating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Committee.</w:t>
      </w:r>
    </w:p>
    <w:p>
      <w:pPr>
        <w:pStyle w:val="ListParagraph"/>
        <w:numPr>
          <w:ilvl w:val="0"/>
          <w:numId w:val="1"/>
        </w:numPr>
        <w:tabs>
          <w:tab w:pos="1701" w:val="left" w:leader="none"/>
        </w:tabs>
        <w:spacing w:line="351" w:lineRule="exact" w:before="0" w:after="0"/>
        <w:ind w:left="1701" w:right="0" w:hanging="296"/>
        <w:jc w:val="left"/>
        <w:rPr>
          <w:position w:val="-4"/>
          <w:sz w:val="31"/>
        </w:rPr>
      </w:pPr>
      <w:r>
        <w:rPr>
          <w:spacing w:val="-2"/>
          <w:w w:val="105"/>
          <w:sz w:val="18"/>
        </w:rPr>
        <w:t>Recruited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9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senior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bankers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from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competing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ﬁrms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over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5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years,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including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3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MDs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and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2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Senior</w:t>
      </w:r>
      <w:r>
        <w:rPr>
          <w:spacing w:val="-4"/>
          <w:w w:val="105"/>
          <w:sz w:val="18"/>
        </w:rPr>
        <w:t> VPs.</w:t>
      </w:r>
    </w:p>
    <w:p>
      <w:pPr>
        <w:tabs>
          <w:tab w:pos="10426" w:val="right" w:leader="none"/>
        </w:tabs>
        <w:spacing w:before="304"/>
        <w:ind w:left="233" w:right="0" w:firstLine="0"/>
        <w:jc w:val="left"/>
        <w:rPr>
          <w:rFonts w:ascii="Tahoma" w:hAnsi="Tahoma"/>
          <w:b/>
          <w:position w:val="3"/>
          <w:sz w:val="18"/>
        </w:rPr>
      </w:pPr>
      <w:r>
        <w:rPr>
          <w:rFonts w:ascii="Tahoma" w:hAnsi="Tahoma"/>
          <w:b/>
          <w:w w:val="95"/>
          <w:sz w:val="18"/>
        </w:rPr>
        <w:t>Managing</w:t>
      </w:r>
      <w:r>
        <w:rPr>
          <w:rFonts w:ascii="Tahoma" w:hAnsi="Tahoma"/>
          <w:b/>
          <w:spacing w:val="-1"/>
          <w:w w:val="95"/>
          <w:sz w:val="18"/>
        </w:rPr>
        <w:t> </w:t>
      </w:r>
      <w:r>
        <w:rPr>
          <w:rFonts w:ascii="Tahoma" w:hAnsi="Tahoma"/>
          <w:b/>
          <w:w w:val="95"/>
          <w:sz w:val="18"/>
        </w:rPr>
        <w:t>Director,</w:t>
      </w:r>
      <w:r>
        <w:rPr>
          <w:rFonts w:ascii="Tahoma" w:hAnsi="Tahoma"/>
          <w:b/>
          <w:spacing w:val="-3"/>
          <w:sz w:val="18"/>
        </w:rPr>
        <w:t> </w:t>
      </w:r>
      <w:r>
        <w:rPr>
          <w:rFonts w:ascii="Tahoma" w:hAnsi="Tahoma"/>
          <w:b/>
          <w:w w:val="95"/>
          <w:sz w:val="18"/>
        </w:rPr>
        <w:t>FIG</w:t>
      </w:r>
      <w:r>
        <w:rPr>
          <w:rFonts w:ascii="Tahoma" w:hAnsi="Tahoma"/>
          <w:b/>
          <w:spacing w:val="-2"/>
          <w:sz w:val="18"/>
        </w:rPr>
        <w:t> </w:t>
      </w:r>
      <w:r>
        <w:rPr>
          <w:rFonts w:ascii="Tahoma" w:hAnsi="Tahoma"/>
          <w:b/>
          <w:w w:val="95"/>
          <w:sz w:val="18"/>
        </w:rPr>
        <w:t>Investment</w:t>
      </w:r>
      <w:r>
        <w:rPr>
          <w:rFonts w:ascii="Tahoma" w:hAnsi="Tahoma"/>
          <w:b/>
          <w:spacing w:val="-1"/>
          <w:w w:val="95"/>
          <w:sz w:val="18"/>
        </w:rPr>
        <w:t> </w:t>
      </w:r>
      <w:r>
        <w:rPr>
          <w:rFonts w:ascii="Tahoma" w:hAnsi="Tahoma"/>
          <w:b/>
          <w:w w:val="95"/>
          <w:sz w:val="18"/>
        </w:rPr>
        <w:t>Banking</w:t>
      </w:r>
      <w:r>
        <w:rPr>
          <w:rFonts w:ascii="Tahoma" w:hAnsi="Tahoma"/>
          <w:b/>
          <w:spacing w:val="20"/>
          <w:sz w:val="18"/>
        </w:rPr>
        <w:t> </w:t>
      </w:r>
      <w:r>
        <w:rPr>
          <w:rFonts w:ascii="Nueva Std Extended" w:hAnsi="Nueva Std Extended"/>
          <w:w w:val="95"/>
          <w:sz w:val="20"/>
        </w:rPr>
        <w:t>|</w:t>
      </w:r>
      <w:r>
        <w:rPr>
          <w:rFonts w:ascii="Nueva Std Extended" w:hAnsi="Nueva Std Extended"/>
          <w:spacing w:val="25"/>
          <w:sz w:val="20"/>
        </w:rPr>
        <w:t> </w:t>
      </w:r>
      <w:r>
        <w:rPr>
          <w:rFonts w:ascii="Tahoma" w:hAnsi="Tahoma"/>
          <w:b/>
          <w:w w:val="95"/>
          <w:sz w:val="18"/>
        </w:rPr>
        <w:t>Trenton</w:t>
      </w:r>
      <w:r>
        <w:rPr>
          <w:rFonts w:ascii="Tahoma" w:hAnsi="Tahoma"/>
          <w:b/>
          <w:spacing w:val="-3"/>
          <w:sz w:val="18"/>
        </w:rPr>
        <w:t> </w:t>
      </w:r>
      <w:r>
        <w:rPr>
          <w:rFonts w:ascii="Tahoma" w:hAnsi="Tahoma"/>
          <w:b/>
          <w:w w:val="95"/>
          <w:sz w:val="18"/>
        </w:rPr>
        <w:t>Vaux</w:t>
      </w:r>
      <w:r>
        <w:rPr>
          <w:rFonts w:ascii="Tahoma" w:hAnsi="Tahoma"/>
          <w:b/>
          <w:spacing w:val="-3"/>
          <w:sz w:val="18"/>
        </w:rPr>
        <w:t> </w:t>
      </w:r>
      <w:r>
        <w:rPr>
          <w:rFonts w:ascii="Tahoma" w:hAnsi="Tahoma"/>
          <w:b/>
          <w:w w:val="95"/>
          <w:sz w:val="18"/>
        </w:rPr>
        <w:t>Partners,</w:t>
      </w:r>
      <w:r>
        <w:rPr>
          <w:rFonts w:ascii="Tahoma" w:hAnsi="Tahoma"/>
          <w:b/>
          <w:spacing w:val="-3"/>
          <w:sz w:val="18"/>
        </w:rPr>
        <w:t> </w:t>
      </w:r>
      <w:r>
        <w:rPr>
          <w:rFonts w:ascii="Tahoma" w:hAnsi="Tahoma"/>
          <w:b/>
          <w:w w:val="95"/>
          <w:sz w:val="18"/>
        </w:rPr>
        <w:t>New</w:t>
      </w:r>
      <w:r>
        <w:rPr>
          <w:rFonts w:ascii="Tahoma" w:hAnsi="Tahoma"/>
          <w:b/>
          <w:spacing w:val="-3"/>
          <w:w w:val="95"/>
          <w:sz w:val="18"/>
        </w:rPr>
        <w:t> </w:t>
      </w:r>
      <w:r>
        <w:rPr>
          <w:rFonts w:ascii="Tahoma" w:hAnsi="Tahoma"/>
          <w:b/>
          <w:w w:val="95"/>
          <w:sz w:val="18"/>
        </w:rPr>
        <w:t>York,</w:t>
      </w:r>
      <w:r>
        <w:rPr>
          <w:rFonts w:ascii="Tahoma" w:hAnsi="Tahoma"/>
          <w:b/>
          <w:spacing w:val="-3"/>
          <w:sz w:val="18"/>
        </w:rPr>
        <w:t> </w:t>
      </w:r>
      <w:r>
        <w:rPr>
          <w:rFonts w:ascii="Tahoma" w:hAnsi="Tahoma"/>
          <w:b/>
          <w:spacing w:val="-5"/>
          <w:w w:val="95"/>
          <w:sz w:val="18"/>
        </w:rPr>
        <w:t>NY</w:t>
      </w:r>
      <w:r>
        <w:rPr>
          <w:rFonts w:ascii="Times New Roman" w:hAnsi="Times New Roman"/>
          <w:sz w:val="18"/>
        </w:rPr>
        <w:tab/>
      </w:r>
      <w:r>
        <w:rPr>
          <w:rFonts w:ascii="Tahoma" w:hAnsi="Tahoma"/>
          <w:b/>
          <w:spacing w:val="-4"/>
          <w:position w:val="3"/>
          <w:sz w:val="18"/>
        </w:rPr>
        <w:t>2012 </w:t>
      </w:r>
      <w:r>
        <w:rPr>
          <w:rFonts w:ascii="Tahoma" w:hAnsi="Tahoma"/>
          <w:b/>
          <w:position w:val="3"/>
          <w:sz w:val="18"/>
        </w:rPr>
        <w:t>– </w:t>
      </w:r>
      <w:r>
        <w:rPr>
          <w:rFonts w:ascii="Tahoma" w:hAnsi="Tahoma"/>
          <w:b/>
          <w:w w:val="90"/>
          <w:position w:val="3"/>
          <w:sz w:val="18"/>
        </w:rPr>
        <w:t>2018</w:t>
      </w:r>
    </w:p>
    <w:p>
      <w:pPr>
        <w:pStyle w:val="BodyText"/>
        <w:spacing w:before="146"/>
        <w:ind w:firstLine="0"/>
        <w:rPr>
          <w:rFonts w:ascii="Tahoma"/>
          <w:b/>
        </w:rPr>
      </w:pPr>
    </w:p>
    <w:p>
      <w:pPr>
        <w:pStyle w:val="ListParagraph"/>
        <w:numPr>
          <w:ilvl w:val="0"/>
          <w:numId w:val="1"/>
        </w:numPr>
        <w:tabs>
          <w:tab w:pos="1700" w:val="left" w:leader="none"/>
          <w:tab w:pos="1702" w:val="left" w:leader="none"/>
        </w:tabs>
        <w:spacing w:line="216" w:lineRule="auto" w:before="0" w:after="0"/>
        <w:ind w:left="1702" w:right="315" w:hanging="298"/>
        <w:jc w:val="left"/>
        <w:rPr>
          <w:position w:val="-4"/>
          <w:sz w:val="31"/>
        </w:rPr>
      </w:pPr>
      <w:r>
        <w:rPr>
          <w:w w:val="105"/>
          <w:sz w:val="18"/>
        </w:rPr>
        <w:t>Closed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22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transactions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including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$6.2B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insurance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carrier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acquisition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three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bank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holding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company </w:t>
      </w:r>
      <w:r>
        <w:rPr>
          <w:spacing w:val="-2"/>
          <w:w w:val="105"/>
          <w:sz w:val="18"/>
        </w:rPr>
        <w:t>sales.</w:t>
      </w:r>
    </w:p>
    <w:p>
      <w:pPr>
        <w:pStyle w:val="ListParagraph"/>
        <w:numPr>
          <w:ilvl w:val="0"/>
          <w:numId w:val="1"/>
        </w:numPr>
        <w:tabs>
          <w:tab w:pos="1700" w:val="left" w:leader="none"/>
          <w:tab w:pos="1702" w:val="left" w:leader="none"/>
        </w:tabs>
        <w:spacing w:line="216" w:lineRule="auto" w:before="93" w:after="0"/>
        <w:ind w:left="1702" w:right="541" w:hanging="298"/>
        <w:jc w:val="left"/>
        <w:rPr>
          <w:position w:val="-4"/>
          <w:sz w:val="31"/>
        </w:rPr>
      </w:pPr>
      <w:r>
        <w:rPr>
          <w:w w:val="105"/>
          <w:sz w:val="18"/>
        </w:rPr>
        <w:t>Built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led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ﬁrm's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bank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capital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advisory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effort,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raising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$3.1B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sub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debt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preferred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capital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for community and regional banks.</w:t>
      </w:r>
    </w:p>
    <w:p>
      <w:pPr>
        <w:pStyle w:val="ListParagraph"/>
        <w:numPr>
          <w:ilvl w:val="0"/>
          <w:numId w:val="1"/>
        </w:numPr>
        <w:tabs>
          <w:tab w:pos="1701" w:val="left" w:leader="none"/>
        </w:tabs>
        <w:spacing w:line="351" w:lineRule="exact" w:before="69" w:after="0"/>
        <w:ind w:left="1701" w:right="0" w:hanging="296"/>
        <w:jc w:val="left"/>
        <w:rPr>
          <w:position w:val="-4"/>
          <w:sz w:val="31"/>
        </w:rPr>
      </w:pPr>
      <w:r>
        <w:rPr>
          <w:spacing w:val="-2"/>
          <w:w w:val="105"/>
          <w:sz w:val="18"/>
        </w:rPr>
        <w:t>Anchor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relationship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banker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for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12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board-level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clients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with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combined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assets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over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$400B.</w:t>
      </w:r>
    </w:p>
    <w:p>
      <w:pPr>
        <w:pStyle w:val="ListParagraph"/>
        <w:numPr>
          <w:ilvl w:val="0"/>
          <w:numId w:val="1"/>
        </w:numPr>
        <w:tabs>
          <w:tab w:pos="1701" w:val="left" w:leader="none"/>
        </w:tabs>
        <w:spacing w:line="351" w:lineRule="exact" w:before="0" w:after="0"/>
        <w:ind w:left="1701" w:right="0" w:hanging="296"/>
        <w:jc w:val="left"/>
        <w:rPr>
          <w:position w:val="-4"/>
          <w:sz w:val="31"/>
        </w:rPr>
      </w:pPr>
      <w:r>
        <w:rPr>
          <w:spacing w:val="-2"/>
          <w:w w:val="105"/>
          <w:sz w:val="18"/>
        </w:rPr>
        <w:t>Sponsored</w:t>
      </w:r>
      <w:r>
        <w:rPr>
          <w:spacing w:val="-7"/>
          <w:w w:val="105"/>
          <w:sz w:val="18"/>
        </w:rPr>
        <w:t> </w:t>
      </w:r>
      <w:r>
        <w:rPr>
          <w:spacing w:val="-2"/>
          <w:w w:val="105"/>
          <w:sz w:val="18"/>
        </w:rPr>
        <w:t>4</w:t>
      </w:r>
      <w:r>
        <w:rPr>
          <w:spacing w:val="-11"/>
          <w:w w:val="105"/>
          <w:sz w:val="18"/>
        </w:rPr>
        <w:t> </w:t>
      </w:r>
      <w:r>
        <w:rPr>
          <w:spacing w:val="-2"/>
          <w:w w:val="105"/>
          <w:sz w:val="18"/>
        </w:rPr>
        <w:t>Associates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to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VP</w:t>
      </w:r>
      <w:r>
        <w:rPr>
          <w:spacing w:val="-7"/>
          <w:w w:val="105"/>
          <w:sz w:val="18"/>
        </w:rPr>
        <w:t> </w:t>
      </w:r>
      <w:r>
        <w:rPr>
          <w:spacing w:val="-2"/>
          <w:w w:val="105"/>
          <w:sz w:val="18"/>
        </w:rPr>
        <w:t>promotion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and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2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VPs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to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Director.</w:t>
      </w:r>
    </w:p>
    <w:p>
      <w:pPr>
        <w:tabs>
          <w:tab w:pos="10426" w:val="right" w:leader="none"/>
        </w:tabs>
        <w:spacing w:before="289"/>
        <w:ind w:left="233" w:right="0" w:firstLine="0"/>
        <w:jc w:val="left"/>
        <w:rPr>
          <w:rFonts w:ascii="Tahoma" w:hAnsi="Tahoma"/>
          <w:b/>
          <w:position w:val="3"/>
          <w:sz w:val="18"/>
        </w:rPr>
      </w:pPr>
      <w:r>
        <w:rPr>
          <w:rFonts w:ascii="Tahoma" w:hAnsi="Tahoma"/>
          <w:b/>
          <w:w w:val="95"/>
          <w:sz w:val="18"/>
        </w:rPr>
        <w:t>Director,</w:t>
      </w:r>
      <w:r>
        <w:rPr>
          <w:rFonts w:ascii="Tahoma" w:hAnsi="Tahoma"/>
          <w:b/>
          <w:spacing w:val="-1"/>
          <w:sz w:val="18"/>
        </w:rPr>
        <w:t> </w:t>
      </w:r>
      <w:r>
        <w:rPr>
          <w:rFonts w:ascii="Tahoma" w:hAnsi="Tahoma"/>
          <w:b/>
          <w:w w:val="95"/>
          <w:sz w:val="18"/>
        </w:rPr>
        <w:t>Financial</w:t>
      </w:r>
      <w:r>
        <w:rPr>
          <w:rFonts w:ascii="Tahoma" w:hAnsi="Tahoma"/>
          <w:b/>
          <w:spacing w:val="-1"/>
          <w:sz w:val="18"/>
        </w:rPr>
        <w:t> </w:t>
      </w:r>
      <w:r>
        <w:rPr>
          <w:rFonts w:ascii="Tahoma" w:hAnsi="Tahoma"/>
          <w:b/>
          <w:w w:val="95"/>
          <w:sz w:val="18"/>
        </w:rPr>
        <w:t>Institutions</w:t>
      </w:r>
      <w:r>
        <w:rPr>
          <w:rFonts w:ascii="Tahoma" w:hAnsi="Tahoma"/>
          <w:b/>
          <w:sz w:val="18"/>
        </w:rPr>
        <w:t> </w:t>
      </w:r>
      <w:r>
        <w:rPr>
          <w:rFonts w:ascii="Tahoma" w:hAnsi="Tahoma"/>
          <w:b/>
          <w:w w:val="95"/>
          <w:sz w:val="18"/>
        </w:rPr>
        <w:t>Group</w:t>
      </w:r>
      <w:r>
        <w:rPr>
          <w:rFonts w:ascii="Tahoma" w:hAnsi="Tahoma"/>
          <w:b/>
          <w:spacing w:val="22"/>
          <w:sz w:val="18"/>
        </w:rPr>
        <w:t> </w:t>
      </w:r>
      <w:r>
        <w:rPr>
          <w:rFonts w:ascii="Nueva Std Extended" w:hAnsi="Nueva Std Extended"/>
          <w:w w:val="95"/>
          <w:sz w:val="20"/>
        </w:rPr>
        <w:t>|</w:t>
      </w:r>
      <w:r>
        <w:rPr>
          <w:rFonts w:ascii="Nueva Std Extended" w:hAnsi="Nueva Std Extended"/>
          <w:spacing w:val="28"/>
          <w:sz w:val="20"/>
        </w:rPr>
        <w:t> </w:t>
      </w:r>
      <w:r>
        <w:rPr>
          <w:rFonts w:ascii="Tahoma" w:hAnsi="Tahoma"/>
          <w:b/>
          <w:w w:val="95"/>
          <w:sz w:val="18"/>
        </w:rPr>
        <w:t>Trenton</w:t>
      </w:r>
      <w:r>
        <w:rPr>
          <w:rFonts w:ascii="Tahoma" w:hAnsi="Tahoma"/>
          <w:b/>
          <w:sz w:val="18"/>
        </w:rPr>
        <w:t> </w:t>
      </w:r>
      <w:r>
        <w:rPr>
          <w:rFonts w:ascii="Tahoma" w:hAnsi="Tahoma"/>
          <w:b/>
          <w:w w:val="95"/>
          <w:sz w:val="18"/>
        </w:rPr>
        <w:t>Vaux</w:t>
      </w:r>
      <w:r>
        <w:rPr>
          <w:rFonts w:ascii="Tahoma" w:hAnsi="Tahoma"/>
          <w:b/>
          <w:spacing w:val="-1"/>
          <w:sz w:val="18"/>
        </w:rPr>
        <w:t> </w:t>
      </w:r>
      <w:r>
        <w:rPr>
          <w:rFonts w:ascii="Tahoma" w:hAnsi="Tahoma"/>
          <w:b/>
          <w:w w:val="95"/>
          <w:sz w:val="18"/>
        </w:rPr>
        <w:t>Partners,</w:t>
      </w:r>
      <w:r>
        <w:rPr>
          <w:rFonts w:ascii="Tahoma" w:hAnsi="Tahoma"/>
          <w:b/>
          <w:spacing w:val="-1"/>
          <w:sz w:val="18"/>
        </w:rPr>
        <w:t> </w:t>
      </w:r>
      <w:r>
        <w:rPr>
          <w:rFonts w:ascii="Tahoma" w:hAnsi="Tahoma"/>
          <w:b/>
          <w:w w:val="95"/>
          <w:sz w:val="18"/>
        </w:rPr>
        <w:t>New</w:t>
      </w:r>
      <w:r>
        <w:rPr>
          <w:rFonts w:ascii="Tahoma" w:hAnsi="Tahoma"/>
          <w:b/>
          <w:spacing w:val="-1"/>
          <w:w w:val="95"/>
          <w:sz w:val="18"/>
        </w:rPr>
        <w:t> </w:t>
      </w:r>
      <w:r>
        <w:rPr>
          <w:rFonts w:ascii="Tahoma" w:hAnsi="Tahoma"/>
          <w:b/>
          <w:w w:val="95"/>
          <w:sz w:val="18"/>
        </w:rPr>
        <w:t>York,</w:t>
      </w:r>
      <w:r>
        <w:rPr>
          <w:rFonts w:ascii="Tahoma" w:hAnsi="Tahoma"/>
          <w:b/>
          <w:sz w:val="18"/>
        </w:rPr>
        <w:t> </w:t>
      </w:r>
      <w:r>
        <w:rPr>
          <w:rFonts w:ascii="Tahoma" w:hAnsi="Tahoma"/>
          <w:b/>
          <w:spacing w:val="-5"/>
          <w:w w:val="95"/>
          <w:sz w:val="18"/>
        </w:rPr>
        <w:t>NY</w:t>
      </w:r>
      <w:r>
        <w:rPr>
          <w:rFonts w:ascii="Times New Roman" w:hAnsi="Times New Roman"/>
          <w:sz w:val="18"/>
        </w:rPr>
        <w:tab/>
      </w:r>
      <w:r>
        <w:rPr>
          <w:rFonts w:ascii="Tahoma" w:hAnsi="Tahoma"/>
          <w:b/>
          <w:spacing w:val="-4"/>
          <w:position w:val="3"/>
          <w:sz w:val="18"/>
        </w:rPr>
        <w:t>2008 </w:t>
      </w:r>
      <w:r>
        <w:rPr>
          <w:rFonts w:ascii="Tahoma" w:hAnsi="Tahoma"/>
          <w:b/>
          <w:position w:val="3"/>
          <w:sz w:val="18"/>
        </w:rPr>
        <w:t>– </w:t>
      </w:r>
      <w:r>
        <w:rPr>
          <w:rFonts w:ascii="Tahoma" w:hAnsi="Tahoma"/>
          <w:b/>
          <w:w w:val="90"/>
          <w:position w:val="3"/>
          <w:sz w:val="18"/>
        </w:rPr>
        <w:t>2012</w:t>
      </w:r>
    </w:p>
    <w:p>
      <w:pPr>
        <w:pStyle w:val="BodyText"/>
        <w:spacing w:before="161"/>
        <w:ind w:firstLine="0"/>
        <w:rPr>
          <w:rFonts w:ascii="Tahoma"/>
          <w:b/>
        </w:rPr>
      </w:pPr>
    </w:p>
    <w:p>
      <w:pPr>
        <w:pStyle w:val="ListParagraph"/>
        <w:numPr>
          <w:ilvl w:val="0"/>
          <w:numId w:val="1"/>
        </w:numPr>
        <w:tabs>
          <w:tab w:pos="1700" w:val="left" w:leader="none"/>
          <w:tab w:pos="1702" w:val="left" w:leader="none"/>
        </w:tabs>
        <w:spacing w:line="216" w:lineRule="auto" w:before="0" w:after="0"/>
        <w:ind w:left="1702" w:right="863" w:hanging="298"/>
        <w:jc w:val="left"/>
        <w:rPr>
          <w:position w:val="-4"/>
          <w:sz w:val="31"/>
        </w:rPr>
      </w:pPr>
      <w:r>
        <w:rPr>
          <w:w w:val="105"/>
          <w:sz w:val="18"/>
        </w:rPr>
        <w:t>Executed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18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announced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transactions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through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ﬁnancial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crisis,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including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5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FDIC-assisted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bank </w:t>
      </w:r>
      <w:r>
        <w:rPr>
          <w:spacing w:val="-2"/>
          <w:w w:val="105"/>
          <w:sz w:val="18"/>
        </w:rPr>
        <w:t>acquisitions.</w:t>
      </w:r>
    </w:p>
    <w:p>
      <w:pPr>
        <w:pStyle w:val="ListParagraph"/>
        <w:numPr>
          <w:ilvl w:val="0"/>
          <w:numId w:val="1"/>
        </w:numPr>
        <w:tabs>
          <w:tab w:pos="1701" w:val="left" w:leader="none"/>
        </w:tabs>
        <w:spacing w:line="351" w:lineRule="exact" w:before="69" w:after="0"/>
        <w:ind w:left="1701" w:right="0" w:hanging="296"/>
        <w:jc w:val="left"/>
        <w:rPr>
          <w:position w:val="-4"/>
          <w:sz w:val="31"/>
        </w:rPr>
      </w:pPr>
      <w:r>
        <w:rPr>
          <w:spacing w:val="-2"/>
          <w:w w:val="105"/>
          <w:sz w:val="18"/>
        </w:rPr>
        <w:t>Co-led</w:t>
      </w:r>
      <w:r>
        <w:rPr>
          <w:spacing w:val="-7"/>
          <w:w w:val="105"/>
          <w:sz w:val="18"/>
        </w:rPr>
        <w:t> </w:t>
      </w:r>
      <w:r>
        <w:rPr>
          <w:spacing w:val="-2"/>
          <w:w w:val="105"/>
          <w:sz w:val="18"/>
        </w:rPr>
        <w:t>the</w:t>
      </w:r>
      <w:r>
        <w:rPr>
          <w:spacing w:val="-7"/>
          <w:w w:val="105"/>
          <w:sz w:val="18"/>
        </w:rPr>
        <w:t> </w:t>
      </w:r>
      <w:r>
        <w:rPr>
          <w:spacing w:val="-2"/>
          <w:w w:val="105"/>
          <w:sz w:val="18"/>
        </w:rPr>
        <w:t>ﬁrm's</w:t>
      </w:r>
      <w:r>
        <w:rPr>
          <w:spacing w:val="-7"/>
          <w:w w:val="105"/>
          <w:sz w:val="18"/>
        </w:rPr>
        <w:t> </w:t>
      </w:r>
      <w:r>
        <w:rPr>
          <w:spacing w:val="-2"/>
          <w:w w:val="105"/>
          <w:sz w:val="18"/>
        </w:rPr>
        <w:t>response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to</w:t>
      </w:r>
      <w:r>
        <w:rPr>
          <w:spacing w:val="-10"/>
          <w:w w:val="105"/>
          <w:sz w:val="18"/>
        </w:rPr>
        <w:t> </w:t>
      </w:r>
      <w:r>
        <w:rPr>
          <w:spacing w:val="-2"/>
          <w:w w:val="105"/>
          <w:sz w:val="18"/>
        </w:rPr>
        <w:t>TARP-related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advisory</w:t>
      </w:r>
      <w:r>
        <w:rPr>
          <w:spacing w:val="-7"/>
          <w:w w:val="105"/>
          <w:sz w:val="18"/>
        </w:rPr>
        <w:t> </w:t>
      </w:r>
      <w:r>
        <w:rPr>
          <w:spacing w:val="-2"/>
          <w:w w:val="105"/>
          <w:sz w:val="18"/>
        </w:rPr>
        <w:t>work</w:t>
      </w:r>
      <w:r>
        <w:rPr>
          <w:spacing w:val="-7"/>
          <w:w w:val="105"/>
          <w:sz w:val="18"/>
        </w:rPr>
        <w:t> </w:t>
      </w:r>
      <w:r>
        <w:rPr>
          <w:spacing w:val="-2"/>
          <w:w w:val="105"/>
          <w:sz w:val="18"/>
        </w:rPr>
        <w:t>for</w:t>
      </w:r>
      <w:r>
        <w:rPr>
          <w:spacing w:val="-7"/>
          <w:w w:val="105"/>
          <w:sz w:val="18"/>
        </w:rPr>
        <w:t> </w:t>
      </w:r>
      <w:r>
        <w:rPr>
          <w:spacing w:val="-2"/>
          <w:w w:val="105"/>
          <w:sz w:val="18"/>
        </w:rPr>
        <w:t>11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publicly</w:t>
      </w:r>
      <w:r>
        <w:rPr>
          <w:spacing w:val="-7"/>
          <w:w w:val="105"/>
          <w:sz w:val="18"/>
        </w:rPr>
        <w:t> </w:t>
      </w:r>
      <w:r>
        <w:rPr>
          <w:spacing w:val="-2"/>
          <w:w w:val="105"/>
          <w:sz w:val="18"/>
        </w:rPr>
        <w:t>traded</w:t>
      </w:r>
      <w:r>
        <w:rPr>
          <w:spacing w:val="-7"/>
          <w:w w:val="105"/>
          <w:sz w:val="18"/>
        </w:rPr>
        <w:t> </w:t>
      </w:r>
      <w:r>
        <w:rPr>
          <w:spacing w:val="-2"/>
          <w:w w:val="105"/>
          <w:sz w:val="18"/>
        </w:rPr>
        <w:t>banks.</w:t>
      </w:r>
    </w:p>
    <w:p>
      <w:pPr>
        <w:pStyle w:val="ListParagraph"/>
        <w:numPr>
          <w:ilvl w:val="0"/>
          <w:numId w:val="1"/>
        </w:numPr>
        <w:tabs>
          <w:tab w:pos="1701" w:val="left" w:leader="none"/>
        </w:tabs>
        <w:spacing w:line="351" w:lineRule="exact" w:before="0" w:after="0"/>
        <w:ind w:left="1701" w:right="0" w:hanging="296"/>
        <w:jc w:val="left"/>
        <w:rPr>
          <w:position w:val="-4"/>
          <w:sz w:val="31"/>
        </w:rPr>
      </w:pPr>
      <w:r>
        <w:rPr>
          <w:spacing w:val="-2"/>
          <w:w w:val="105"/>
          <w:sz w:val="18"/>
        </w:rPr>
        <w:t>Promoted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to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Managing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Director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in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early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2012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after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leading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two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top-5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FIG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deals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by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fees.</w:t>
      </w:r>
    </w:p>
    <w:p>
      <w:pPr>
        <w:tabs>
          <w:tab w:pos="10426" w:val="right" w:leader="none"/>
        </w:tabs>
        <w:spacing w:before="289"/>
        <w:ind w:left="233" w:right="0" w:firstLine="0"/>
        <w:jc w:val="left"/>
        <w:rPr>
          <w:rFonts w:ascii="Tahoma" w:hAnsi="Tahoma"/>
          <w:b/>
          <w:position w:val="3"/>
          <w:sz w:val="18"/>
        </w:rPr>
      </w:pPr>
      <w:r>
        <w:rPr>
          <w:rFonts w:ascii="Tahoma" w:hAnsi="Tahoma"/>
          <w:b/>
          <w:w w:val="95"/>
          <w:sz w:val="18"/>
        </w:rPr>
        <w:t>Vice</w:t>
      </w:r>
      <w:r>
        <w:rPr>
          <w:rFonts w:ascii="Tahoma" w:hAnsi="Tahoma"/>
          <w:b/>
          <w:spacing w:val="4"/>
          <w:sz w:val="18"/>
        </w:rPr>
        <w:t> </w:t>
      </w:r>
      <w:r>
        <w:rPr>
          <w:rFonts w:ascii="Tahoma" w:hAnsi="Tahoma"/>
          <w:b/>
          <w:w w:val="95"/>
          <w:sz w:val="18"/>
        </w:rPr>
        <w:t>President,</w:t>
      </w:r>
      <w:r>
        <w:rPr>
          <w:rFonts w:ascii="Tahoma" w:hAnsi="Tahoma"/>
          <w:b/>
          <w:spacing w:val="5"/>
          <w:sz w:val="18"/>
        </w:rPr>
        <w:t> </w:t>
      </w:r>
      <w:r>
        <w:rPr>
          <w:rFonts w:ascii="Tahoma" w:hAnsi="Tahoma"/>
          <w:b/>
          <w:w w:val="95"/>
          <w:sz w:val="18"/>
        </w:rPr>
        <w:t>M&amp;A</w:t>
      </w:r>
      <w:r>
        <w:rPr>
          <w:rFonts w:ascii="Tahoma" w:hAnsi="Tahoma"/>
          <w:b/>
          <w:spacing w:val="32"/>
          <w:sz w:val="18"/>
        </w:rPr>
        <w:t> </w:t>
      </w:r>
      <w:r>
        <w:rPr>
          <w:rFonts w:ascii="Nueva Std Extended" w:hAnsi="Nueva Std Extended"/>
          <w:w w:val="95"/>
          <w:sz w:val="20"/>
        </w:rPr>
        <w:t>|</w:t>
      </w:r>
      <w:r>
        <w:rPr>
          <w:rFonts w:ascii="Nueva Std Extended" w:hAnsi="Nueva Std Extended"/>
          <w:spacing w:val="36"/>
          <w:sz w:val="20"/>
        </w:rPr>
        <w:t> </w:t>
      </w:r>
      <w:r>
        <w:rPr>
          <w:rFonts w:ascii="Tahoma" w:hAnsi="Tahoma"/>
          <w:b/>
          <w:w w:val="95"/>
          <w:sz w:val="18"/>
        </w:rPr>
        <w:t>Holloway</w:t>
      </w:r>
      <w:r>
        <w:rPr>
          <w:rFonts w:ascii="Tahoma" w:hAnsi="Tahoma"/>
          <w:b/>
          <w:spacing w:val="5"/>
          <w:sz w:val="18"/>
        </w:rPr>
        <w:t> </w:t>
      </w:r>
      <w:r>
        <w:rPr>
          <w:rFonts w:ascii="Tahoma" w:hAnsi="Tahoma"/>
          <w:b/>
          <w:w w:val="95"/>
          <w:sz w:val="18"/>
        </w:rPr>
        <w:t>Drake</w:t>
      </w:r>
      <w:r>
        <w:rPr>
          <w:rFonts w:ascii="Tahoma" w:hAnsi="Tahoma"/>
          <w:b/>
          <w:spacing w:val="5"/>
          <w:sz w:val="18"/>
        </w:rPr>
        <w:t> </w:t>
      </w:r>
      <w:r>
        <w:rPr>
          <w:rFonts w:ascii="Tahoma" w:hAnsi="Tahoma"/>
          <w:b/>
          <w:w w:val="95"/>
          <w:sz w:val="18"/>
        </w:rPr>
        <w:t>Securities,</w:t>
      </w:r>
      <w:r>
        <w:rPr>
          <w:rFonts w:ascii="Tahoma" w:hAnsi="Tahoma"/>
          <w:b/>
          <w:spacing w:val="5"/>
          <w:sz w:val="18"/>
        </w:rPr>
        <w:t> </w:t>
      </w:r>
      <w:r>
        <w:rPr>
          <w:rFonts w:ascii="Tahoma" w:hAnsi="Tahoma"/>
          <w:b/>
          <w:w w:val="95"/>
          <w:sz w:val="18"/>
        </w:rPr>
        <w:t>New</w:t>
      </w:r>
      <w:r>
        <w:rPr>
          <w:rFonts w:ascii="Tahoma" w:hAnsi="Tahoma"/>
          <w:b/>
          <w:spacing w:val="1"/>
          <w:sz w:val="18"/>
        </w:rPr>
        <w:t> </w:t>
      </w:r>
      <w:r>
        <w:rPr>
          <w:rFonts w:ascii="Tahoma" w:hAnsi="Tahoma"/>
          <w:b/>
          <w:w w:val="95"/>
          <w:sz w:val="18"/>
        </w:rPr>
        <w:t>York,</w:t>
      </w:r>
      <w:r>
        <w:rPr>
          <w:rFonts w:ascii="Tahoma" w:hAnsi="Tahoma"/>
          <w:b/>
          <w:spacing w:val="5"/>
          <w:sz w:val="18"/>
        </w:rPr>
        <w:t> </w:t>
      </w:r>
      <w:r>
        <w:rPr>
          <w:rFonts w:ascii="Tahoma" w:hAnsi="Tahoma"/>
          <w:b/>
          <w:spacing w:val="-5"/>
          <w:w w:val="95"/>
          <w:sz w:val="18"/>
        </w:rPr>
        <w:t>NY</w:t>
      </w:r>
      <w:r>
        <w:rPr>
          <w:rFonts w:ascii="Times New Roman" w:hAnsi="Times New Roman"/>
          <w:sz w:val="18"/>
        </w:rPr>
        <w:tab/>
      </w:r>
      <w:r>
        <w:rPr>
          <w:rFonts w:ascii="Tahoma" w:hAnsi="Tahoma"/>
          <w:b/>
          <w:spacing w:val="-4"/>
          <w:position w:val="3"/>
          <w:sz w:val="18"/>
        </w:rPr>
        <w:t>2003 </w:t>
      </w:r>
      <w:r>
        <w:rPr>
          <w:rFonts w:ascii="Tahoma" w:hAnsi="Tahoma"/>
          <w:b/>
          <w:position w:val="3"/>
          <w:sz w:val="18"/>
        </w:rPr>
        <w:t>– </w:t>
      </w:r>
      <w:r>
        <w:rPr>
          <w:rFonts w:ascii="Tahoma" w:hAnsi="Tahoma"/>
          <w:b/>
          <w:w w:val="90"/>
          <w:position w:val="3"/>
          <w:sz w:val="18"/>
        </w:rPr>
        <w:t>2008</w:t>
      </w:r>
    </w:p>
    <w:p>
      <w:pPr>
        <w:pStyle w:val="BodyText"/>
        <w:spacing w:before="137"/>
        <w:ind w:firstLine="0"/>
        <w:rPr>
          <w:rFonts w:ascii="Tahoma"/>
          <w:b/>
        </w:rPr>
      </w:pPr>
    </w:p>
    <w:p>
      <w:pPr>
        <w:pStyle w:val="ListParagraph"/>
        <w:numPr>
          <w:ilvl w:val="0"/>
          <w:numId w:val="1"/>
        </w:numPr>
        <w:tabs>
          <w:tab w:pos="1701" w:val="left" w:leader="none"/>
        </w:tabs>
        <w:spacing w:line="351" w:lineRule="exact" w:before="0" w:after="0"/>
        <w:ind w:left="1701" w:right="0" w:hanging="296"/>
        <w:jc w:val="left"/>
        <w:rPr>
          <w:position w:val="-4"/>
          <w:sz w:val="31"/>
        </w:rPr>
      </w:pPr>
      <w:r>
        <w:rPr>
          <w:spacing w:val="-2"/>
          <w:w w:val="105"/>
          <w:sz w:val="18"/>
        </w:rPr>
        <w:t>Executed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16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transactions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across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FIG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and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Diversiﬁed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Industrials;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rotated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into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FIG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full-time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in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2005.</w:t>
      </w:r>
    </w:p>
    <w:p>
      <w:pPr>
        <w:pStyle w:val="ListParagraph"/>
        <w:numPr>
          <w:ilvl w:val="0"/>
          <w:numId w:val="1"/>
        </w:numPr>
        <w:tabs>
          <w:tab w:pos="1701" w:val="left" w:leader="none"/>
        </w:tabs>
        <w:spacing w:line="335" w:lineRule="exact" w:before="0" w:after="0"/>
        <w:ind w:left="1701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Promoted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VP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three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years;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promoted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Director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-13"/>
          <w:w w:val="105"/>
          <w:sz w:val="18"/>
        </w:rPr>
        <w:t> </w:t>
      </w:r>
      <w:r>
        <w:rPr>
          <w:spacing w:val="-2"/>
          <w:w w:val="105"/>
          <w:sz w:val="18"/>
        </w:rPr>
        <w:t>2008.</w:t>
      </w:r>
    </w:p>
    <w:p>
      <w:pPr>
        <w:pStyle w:val="ListParagraph"/>
        <w:numPr>
          <w:ilvl w:val="0"/>
          <w:numId w:val="1"/>
        </w:numPr>
        <w:tabs>
          <w:tab w:pos="1701" w:val="left" w:leader="none"/>
        </w:tabs>
        <w:spacing w:line="341" w:lineRule="exact" w:before="0" w:after="0"/>
        <w:ind w:left="1701" w:right="0" w:hanging="296"/>
        <w:jc w:val="left"/>
        <w:rPr>
          <w:position w:val="-2"/>
          <w:sz w:val="31"/>
        </w:rPr>
      </w:pPr>
      <w:r>
        <w:rPr>
          <w:spacing w:val="-2"/>
          <w:w w:val="105"/>
          <w:sz w:val="18"/>
        </w:rPr>
        <w:t>Led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the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analyst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training</w:t>
      </w:r>
      <w:r>
        <w:rPr>
          <w:spacing w:val="-3"/>
          <w:w w:val="105"/>
          <w:sz w:val="18"/>
        </w:rPr>
        <w:t> </w:t>
      </w:r>
      <w:r>
        <w:rPr>
          <w:spacing w:val="-2"/>
          <w:w w:val="105"/>
          <w:sz w:val="18"/>
        </w:rPr>
        <w:t>program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for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the</w:t>
      </w:r>
      <w:r>
        <w:rPr>
          <w:spacing w:val="-3"/>
          <w:w w:val="105"/>
          <w:sz w:val="18"/>
        </w:rPr>
        <w:t> </w:t>
      </w:r>
      <w:r>
        <w:rPr>
          <w:spacing w:val="-2"/>
          <w:w w:val="105"/>
          <w:sz w:val="18"/>
        </w:rPr>
        <w:t>ﬁrm's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incoming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class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of</w:t>
      </w:r>
      <w:r>
        <w:rPr>
          <w:spacing w:val="-3"/>
          <w:w w:val="105"/>
          <w:sz w:val="18"/>
        </w:rPr>
        <w:t> </w:t>
      </w:r>
      <w:r>
        <w:rPr>
          <w:spacing w:val="-2"/>
          <w:w w:val="105"/>
          <w:sz w:val="18"/>
        </w:rPr>
        <w:t>35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analysts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in</w:t>
      </w:r>
      <w:r>
        <w:rPr>
          <w:spacing w:val="-3"/>
          <w:w w:val="105"/>
          <w:sz w:val="18"/>
        </w:rPr>
        <w:t> </w:t>
      </w:r>
      <w:r>
        <w:rPr>
          <w:spacing w:val="-2"/>
          <w:w w:val="105"/>
          <w:sz w:val="18"/>
        </w:rPr>
        <w:t>2007.</w:t>
      </w:r>
    </w:p>
    <w:p>
      <w:pPr>
        <w:pStyle w:val="BodyText"/>
        <w:spacing w:before="15"/>
        <w:ind w:firstLine="0"/>
        <w:rPr>
          <w:sz w:val="22"/>
        </w:rPr>
      </w:pPr>
    </w:p>
    <w:p>
      <w:pPr>
        <w:spacing w:before="0"/>
        <w:ind w:left="233" w:right="0" w:firstLine="0"/>
        <w:jc w:val="left"/>
        <w:rPr>
          <w:sz w:val="22"/>
        </w:rPr>
      </w:pPr>
      <w:r>
        <w:rPr>
          <w:spacing w:val="-2"/>
          <w:sz w:val="22"/>
        </w:rPr>
        <w:t>Education</w:t>
      </w:r>
    </w:p>
    <w:p>
      <w:pPr>
        <w:pStyle w:val="BodyText"/>
        <w:spacing w:before="5"/>
        <w:ind w:firstLine="0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504824</wp:posOffset>
                </wp:positionH>
                <wp:positionV relativeFrom="paragraph">
                  <wp:posOffset>113610</wp:posOffset>
                </wp:positionV>
                <wp:extent cx="6477000" cy="9525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64770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 h="9525">
                              <a:moveTo>
                                <a:pt x="647699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476999" y="0"/>
                              </a:lnTo>
                              <a:lnTo>
                                <a:pt x="647699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6313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9.749996pt;margin-top:8.945741pt;width:509.999959pt;height:.75pt;mso-position-horizontal-relative:page;mso-position-vertical-relative:paragraph;z-index:-15727616;mso-wrap-distance-left:0;mso-wrap-distance-right:0" id="docshape6" filled="true" fillcolor="#000000" stroked="false">
                <v:fill opacity="41379f" type="solid"/>
                <w10:wrap type="topAndBottom"/>
              </v:rect>
            </w:pict>
          </mc:Fallback>
        </mc:AlternateContent>
      </w:r>
    </w:p>
    <w:p>
      <w:pPr>
        <w:spacing w:before="90"/>
        <w:ind w:left="233" w:right="0" w:firstLine="0"/>
        <w:jc w:val="left"/>
        <w:rPr>
          <w:rFonts w:ascii="Tahoma"/>
          <w:b/>
          <w:sz w:val="18"/>
        </w:rPr>
      </w:pPr>
      <w:r>
        <w:rPr>
          <w:rFonts w:ascii="Tahoma"/>
          <w:b/>
          <w:spacing w:val="-2"/>
          <w:sz w:val="18"/>
        </w:rPr>
        <w:t>MBA,</w:t>
      </w:r>
      <w:r>
        <w:rPr>
          <w:rFonts w:ascii="Tahoma"/>
          <w:b/>
          <w:spacing w:val="-3"/>
          <w:sz w:val="18"/>
        </w:rPr>
        <w:t> </w:t>
      </w:r>
      <w:r>
        <w:rPr>
          <w:rFonts w:ascii="Tahoma"/>
          <w:b/>
          <w:spacing w:val="-2"/>
          <w:sz w:val="18"/>
        </w:rPr>
        <w:t>Finance,</w:t>
      </w:r>
      <w:r>
        <w:rPr>
          <w:rFonts w:ascii="Tahoma"/>
          <w:b/>
          <w:spacing w:val="-3"/>
          <w:sz w:val="18"/>
        </w:rPr>
        <w:t> </w:t>
      </w:r>
      <w:r>
        <w:rPr>
          <w:rFonts w:ascii="Tahoma"/>
          <w:b/>
          <w:spacing w:val="-2"/>
          <w:sz w:val="18"/>
        </w:rPr>
        <w:t>The</w:t>
      </w:r>
      <w:r>
        <w:rPr>
          <w:rFonts w:ascii="Tahoma"/>
          <w:b/>
          <w:spacing w:val="-3"/>
          <w:sz w:val="18"/>
        </w:rPr>
        <w:t> </w:t>
      </w:r>
      <w:r>
        <w:rPr>
          <w:rFonts w:ascii="Tahoma"/>
          <w:b/>
          <w:spacing w:val="-2"/>
          <w:sz w:val="18"/>
        </w:rPr>
        <w:t>Wharton</w:t>
      </w:r>
      <w:r>
        <w:rPr>
          <w:rFonts w:ascii="Tahoma"/>
          <w:b/>
          <w:spacing w:val="-3"/>
          <w:sz w:val="18"/>
        </w:rPr>
        <w:t> </w:t>
      </w:r>
      <w:r>
        <w:rPr>
          <w:rFonts w:ascii="Tahoma"/>
          <w:b/>
          <w:spacing w:val="-2"/>
          <w:sz w:val="18"/>
        </w:rPr>
        <w:t>School,</w:t>
      </w:r>
      <w:r>
        <w:rPr>
          <w:rFonts w:ascii="Tahoma"/>
          <w:b/>
          <w:spacing w:val="-3"/>
          <w:sz w:val="18"/>
        </w:rPr>
        <w:t> </w:t>
      </w:r>
      <w:r>
        <w:rPr>
          <w:rFonts w:ascii="Tahoma"/>
          <w:b/>
          <w:spacing w:val="-2"/>
          <w:sz w:val="18"/>
        </w:rPr>
        <w:t>University</w:t>
      </w:r>
      <w:r>
        <w:rPr>
          <w:rFonts w:ascii="Tahoma"/>
          <w:b/>
          <w:spacing w:val="-3"/>
          <w:sz w:val="18"/>
        </w:rPr>
        <w:t> </w:t>
      </w:r>
      <w:r>
        <w:rPr>
          <w:rFonts w:ascii="Tahoma"/>
          <w:b/>
          <w:spacing w:val="-2"/>
          <w:sz w:val="18"/>
        </w:rPr>
        <w:t>of</w:t>
      </w:r>
      <w:r>
        <w:rPr>
          <w:rFonts w:ascii="Tahoma"/>
          <w:b/>
          <w:spacing w:val="-3"/>
          <w:sz w:val="18"/>
        </w:rPr>
        <w:t> </w:t>
      </w:r>
      <w:r>
        <w:rPr>
          <w:rFonts w:ascii="Tahoma"/>
          <w:b/>
          <w:spacing w:val="-2"/>
          <w:sz w:val="18"/>
        </w:rPr>
        <w:t>Pennsylvania,</w:t>
      </w:r>
      <w:r>
        <w:rPr>
          <w:rFonts w:ascii="Tahoma"/>
          <w:b/>
          <w:spacing w:val="-3"/>
          <w:sz w:val="18"/>
        </w:rPr>
        <w:t> </w:t>
      </w:r>
      <w:r>
        <w:rPr>
          <w:rFonts w:ascii="Tahoma"/>
          <w:b/>
          <w:spacing w:val="-4"/>
          <w:sz w:val="18"/>
        </w:rPr>
        <w:t>2003</w:t>
      </w:r>
    </w:p>
    <w:p>
      <w:pPr>
        <w:spacing w:after="0"/>
        <w:jc w:val="left"/>
        <w:rPr>
          <w:rFonts w:ascii="Tahoma"/>
          <w:b/>
          <w:sz w:val="18"/>
        </w:rPr>
        <w:sectPr>
          <w:type w:val="continuous"/>
          <w:pgSz w:w="11920" w:h="16860"/>
          <w:pgMar w:top="0" w:bottom="0" w:left="566" w:right="850"/>
        </w:sectPr>
      </w:pPr>
    </w:p>
    <w:p>
      <w:pPr>
        <w:spacing w:line="640" w:lineRule="atLeast" w:before="54"/>
        <w:ind w:left="233" w:right="4607" w:firstLine="0"/>
        <w:jc w:val="left"/>
        <w:rPr>
          <w:rFonts w:ascii="Tahoma"/>
          <w:b/>
          <w:sz w:val="18"/>
        </w:rPr>
      </w:pPr>
      <w:r>
        <w:rPr>
          <w:rFonts w:ascii="Tahoma"/>
          <w:b/>
          <w:sz w:val="18"/>
        </w:rPr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7381862</wp:posOffset>
                </wp:positionH>
                <wp:positionV relativeFrom="page">
                  <wp:posOffset>12</wp:posOffset>
                </wp:positionV>
                <wp:extent cx="186690" cy="10704830"/>
                <wp:effectExtent l="0" t="0" r="0" b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186690" cy="10704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6690" h="10704830">
                              <a:moveTo>
                                <a:pt x="186309" y="0"/>
                              </a:moveTo>
                              <a:lnTo>
                                <a:pt x="0" y="0"/>
                              </a:lnTo>
                              <a:lnTo>
                                <a:pt x="0" y="323837"/>
                              </a:lnTo>
                              <a:lnTo>
                                <a:pt x="0" y="2609850"/>
                              </a:lnTo>
                              <a:lnTo>
                                <a:pt x="0" y="3990962"/>
                              </a:lnTo>
                              <a:lnTo>
                                <a:pt x="0" y="10704563"/>
                              </a:lnTo>
                              <a:lnTo>
                                <a:pt x="186309" y="10704563"/>
                              </a:lnTo>
                              <a:lnTo>
                                <a:pt x="186309" y="3990962"/>
                              </a:lnTo>
                              <a:lnTo>
                                <a:pt x="186309" y="2609850"/>
                              </a:lnTo>
                              <a:lnTo>
                                <a:pt x="186309" y="323837"/>
                              </a:lnTo>
                              <a:lnTo>
                                <a:pt x="1863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548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81.249023pt;margin-top:.000965pt;width:14.7pt;height:842.9pt;mso-position-horizontal-relative:page;mso-position-vertical-relative:page;z-index:15731200" id="docshape7" coordorigin="11625,0" coordsize="294,16858" path="m11918,0l11625,0,11625,510,11625,4110,11625,6285,11625,16858,11918,16858,11918,6285,11918,4110,11918,510,11918,0xe" filled="true" fillcolor="#000000" stroked="false">
                <v:path arrowok="t"/>
                <v:fill opacity="35979f" type="solid"/>
                <w10:wrap type="none"/>
              </v:shape>
            </w:pict>
          </mc:Fallback>
        </mc:AlternateContent>
      </w:r>
      <w:r>
        <w:rPr>
          <w:rFonts w:ascii="Tahoma"/>
          <w:b/>
          <w:sz w:val="18"/>
        </w:rPr>
        <w:t>BA,</w:t>
      </w:r>
      <w:r>
        <w:rPr>
          <w:rFonts w:ascii="Tahoma"/>
          <w:b/>
          <w:spacing w:val="-14"/>
          <w:sz w:val="18"/>
        </w:rPr>
        <w:t> </w:t>
      </w:r>
      <w:r>
        <w:rPr>
          <w:rFonts w:ascii="Tahoma"/>
          <w:b/>
          <w:sz w:val="18"/>
        </w:rPr>
        <w:t>Economics,</w:t>
      </w:r>
      <w:r>
        <w:rPr>
          <w:rFonts w:ascii="Tahoma"/>
          <w:b/>
          <w:spacing w:val="-13"/>
          <w:sz w:val="18"/>
        </w:rPr>
        <w:t> </w:t>
      </w:r>
      <w:r>
        <w:rPr>
          <w:rFonts w:ascii="Tahoma"/>
          <w:b/>
          <w:sz w:val="18"/>
        </w:rPr>
        <w:t>magna</w:t>
      </w:r>
      <w:r>
        <w:rPr>
          <w:rFonts w:ascii="Tahoma"/>
          <w:b/>
          <w:spacing w:val="-13"/>
          <w:sz w:val="18"/>
        </w:rPr>
        <w:t> </w:t>
      </w:r>
      <w:r>
        <w:rPr>
          <w:rFonts w:ascii="Tahoma"/>
          <w:b/>
          <w:sz w:val="18"/>
        </w:rPr>
        <w:t>cum</w:t>
      </w:r>
      <w:r>
        <w:rPr>
          <w:rFonts w:ascii="Tahoma"/>
          <w:b/>
          <w:spacing w:val="-13"/>
          <w:sz w:val="18"/>
        </w:rPr>
        <w:t> </w:t>
      </w:r>
      <w:r>
        <w:rPr>
          <w:rFonts w:ascii="Tahoma"/>
          <w:b/>
          <w:sz w:val="18"/>
        </w:rPr>
        <w:t>laude,</w:t>
      </w:r>
      <w:r>
        <w:rPr>
          <w:rFonts w:ascii="Tahoma"/>
          <w:b/>
          <w:spacing w:val="-13"/>
          <w:sz w:val="18"/>
        </w:rPr>
        <w:t> </w:t>
      </w:r>
      <w:r>
        <w:rPr>
          <w:rFonts w:ascii="Tahoma"/>
          <w:b/>
          <w:sz w:val="18"/>
        </w:rPr>
        <w:t>Williams</w:t>
      </w:r>
      <w:r>
        <w:rPr>
          <w:rFonts w:ascii="Tahoma"/>
          <w:b/>
          <w:spacing w:val="-14"/>
          <w:sz w:val="18"/>
        </w:rPr>
        <w:t> </w:t>
      </w:r>
      <w:r>
        <w:rPr>
          <w:rFonts w:ascii="Tahoma"/>
          <w:b/>
          <w:sz w:val="18"/>
        </w:rPr>
        <w:t>College,</w:t>
      </w:r>
      <w:r>
        <w:rPr>
          <w:rFonts w:ascii="Tahoma"/>
          <w:b/>
          <w:spacing w:val="-13"/>
          <w:sz w:val="18"/>
        </w:rPr>
        <w:t> </w:t>
      </w:r>
      <w:r>
        <w:rPr>
          <w:rFonts w:ascii="Tahoma"/>
          <w:b/>
          <w:sz w:val="18"/>
        </w:rPr>
        <w:t>1999 FINRA</w:t>
      </w:r>
      <w:r>
        <w:rPr>
          <w:rFonts w:ascii="Tahoma"/>
          <w:b/>
          <w:spacing w:val="-10"/>
          <w:sz w:val="18"/>
        </w:rPr>
        <w:t> </w:t>
      </w:r>
      <w:r>
        <w:rPr>
          <w:rFonts w:ascii="Tahoma"/>
          <w:b/>
          <w:sz w:val="18"/>
        </w:rPr>
        <w:t>Series</w:t>
      </w:r>
      <w:r>
        <w:rPr>
          <w:rFonts w:ascii="Tahoma"/>
          <w:b/>
          <w:spacing w:val="-5"/>
          <w:sz w:val="18"/>
        </w:rPr>
        <w:t> </w:t>
      </w:r>
      <w:r>
        <w:rPr>
          <w:rFonts w:ascii="Tahoma"/>
          <w:b/>
          <w:sz w:val="18"/>
        </w:rPr>
        <w:t>7,</w:t>
      </w:r>
      <w:r>
        <w:rPr>
          <w:rFonts w:ascii="Tahoma"/>
          <w:b/>
          <w:spacing w:val="-5"/>
          <w:sz w:val="18"/>
        </w:rPr>
        <w:t> </w:t>
      </w:r>
      <w:r>
        <w:rPr>
          <w:rFonts w:ascii="Tahoma"/>
          <w:b/>
          <w:sz w:val="18"/>
        </w:rPr>
        <w:t>63,</w:t>
      </w:r>
      <w:r>
        <w:rPr>
          <w:rFonts w:ascii="Tahoma"/>
          <w:b/>
          <w:spacing w:val="-5"/>
          <w:sz w:val="18"/>
        </w:rPr>
        <w:t> </w:t>
      </w:r>
      <w:r>
        <w:rPr>
          <w:rFonts w:ascii="Tahoma"/>
          <w:b/>
          <w:sz w:val="18"/>
        </w:rPr>
        <w:t>79,</w:t>
      </w:r>
      <w:r>
        <w:rPr>
          <w:rFonts w:ascii="Tahoma"/>
          <w:b/>
          <w:spacing w:val="-5"/>
          <w:sz w:val="18"/>
        </w:rPr>
        <w:t> </w:t>
      </w:r>
      <w:r>
        <w:rPr>
          <w:rFonts w:ascii="Tahoma"/>
          <w:b/>
          <w:sz w:val="18"/>
        </w:rPr>
        <w:t>and</w:t>
      </w:r>
      <w:r>
        <w:rPr>
          <w:rFonts w:ascii="Tahoma"/>
          <w:b/>
          <w:spacing w:val="-5"/>
          <w:sz w:val="18"/>
        </w:rPr>
        <w:t> </w:t>
      </w:r>
      <w:r>
        <w:rPr>
          <w:rFonts w:ascii="Tahoma"/>
          <w:b/>
          <w:sz w:val="18"/>
        </w:rPr>
        <w:t>24</w:t>
      </w:r>
      <w:r>
        <w:rPr>
          <w:rFonts w:ascii="Tahoma"/>
          <w:b/>
          <w:spacing w:val="-5"/>
          <w:sz w:val="18"/>
        </w:rPr>
        <w:t> </w:t>
      </w:r>
      <w:r>
        <w:rPr>
          <w:rFonts w:ascii="Tahoma"/>
          <w:b/>
          <w:sz w:val="18"/>
        </w:rPr>
        <w:t>licenses</w:t>
      </w:r>
      <w:r>
        <w:rPr>
          <w:rFonts w:ascii="Tahoma"/>
          <w:b/>
          <w:spacing w:val="-5"/>
          <w:sz w:val="18"/>
        </w:rPr>
        <w:t> </w:t>
      </w:r>
      <w:r>
        <w:rPr>
          <w:rFonts w:ascii="Tahoma"/>
          <w:b/>
          <w:sz w:val="18"/>
        </w:rPr>
        <w:t>(active)</w:t>
      </w:r>
    </w:p>
    <w:p>
      <w:pPr>
        <w:pStyle w:val="BodyText"/>
        <w:spacing w:before="114"/>
        <w:ind w:firstLine="0"/>
        <w:rPr>
          <w:rFonts w:ascii="Tahoma"/>
          <w:b/>
        </w:rPr>
      </w:pPr>
    </w:p>
    <w:p>
      <w:pPr>
        <w:spacing w:before="0"/>
        <w:ind w:left="233" w:right="0" w:firstLine="0"/>
        <w:jc w:val="left"/>
        <w:rPr>
          <w:sz w:val="22"/>
        </w:rPr>
      </w:pPr>
      <w:r>
        <w:rPr>
          <w:sz w:val="22"/>
        </w:rPr>
        <w:t>Key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Skills</w:t>
      </w:r>
    </w:p>
    <w:p>
      <w:pPr>
        <w:pStyle w:val="BodyText"/>
        <w:spacing w:before="5"/>
        <w:ind w:firstLine="0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504824</wp:posOffset>
                </wp:positionH>
                <wp:positionV relativeFrom="paragraph">
                  <wp:posOffset>113763</wp:posOffset>
                </wp:positionV>
                <wp:extent cx="6477000" cy="9525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64770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 h="9525">
                              <a:moveTo>
                                <a:pt x="647699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476999" y="0"/>
                              </a:lnTo>
                              <a:lnTo>
                                <a:pt x="647699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6313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9.749996pt;margin-top:8.957755pt;width:509.999959pt;height:.75pt;mso-position-horizontal-relative:page;mso-position-vertical-relative:paragraph;z-index:-15726592;mso-wrap-distance-left:0;mso-wrap-distance-right:0" id="docshape8" filled="true" fillcolor="#000000" stroked="false">
                <v:fill opacity="41379f" type="solid"/>
                <w10:wrap type="topAndBottom"/>
              </v:rect>
            </w:pict>
          </mc:Fallback>
        </mc:AlternateContent>
      </w:r>
    </w:p>
    <w:p>
      <w:pPr>
        <w:pStyle w:val="ListParagraph"/>
        <w:numPr>
          <w:ilvl w:val="0"/>
          <w:numId w:val="2"/>
        </w:numPr>
        <w:tabs>
          <w:tab w:pos="529" w:val="left" w:leader="none"/>
        </w:tabs>
        <w:spacing w:line="351" w:lineRule="exact" w:before="29" w:after="0"/>
        <w:ind w:left="529" w:right="0" w:hanging="296"/>
        <w:jc w:val="left"/>
        <w:rPr>
          <w:sz w:val="18"/>
        </w:rPr>
      </w:pPr>
      <w:r>
        <w:rPr>
          <w:sz w:val="18"/>
        </w:rPr>
        <w:t>Financial</w:t>
      </w:r>
      <w:r>
        <w:rPr>
          <w:spacing w:val="13"/>
          <w:sz w:val="18"/>
        </w:rPr>
        <w:t> </w:t>
      </w:r>
      <w:r>
        <w:rPr>
          <w:sz w:val="18"/>
        </w:rPr>
        <w:t>Institutions</w:t>
      </w:r>
      <w:r>
        <w:rPr>
          <w:spacing w:val="14"/>
          <w:sz w:val="18"/>
        </w:rPr>
        <w:t> </w:t>
      </w:r>
      <w:r>
        <w:rPr>
          <w:sz w:val="18"/>
        </w:rPr>
        <w:t>M&amp;A</w:t>
      </w:r>
      <w:r>
        <w:rPr>
          <w:spacing w:val="2"/>
          <w:sz w:val="18"/>
        </w:rPr>
        <w:t> </w:t>
      </w:r>
      <w:r>
        <w:rPr>
          <w:sz w:val="18"/>
        </w:rPr>
        <w:t>advisory</w:t>
      </w:r>
      <w:r>
        <w:rPr>
          <w:spacing w:val="14"/>
          <w:sz w:val="18"/>
        </w:rPr>
        <w:t> </w:t>
      </w:r>
      <w:r>
        <w:rPr>
          <w:sz w:val="18"/>
        </w:rPr>
        <w:t>(banks,</w:t>
      </w:r>
      <w:r>
        <w:rPr>
          <w:spacing w:val="13"/>
          <w:sz w:val="18"/>
        </w:rPr>
        <w:t> </w:t>
      </w:r>
      <w:r>
        <w:rPr>
          <w:sz w:val="18"/>
        </w:rPr>
        <w:t>insurance,</w:t>
      </w:r>
      <w:r>
        <w:rPr>
          <w:spacing w:val="14"/>
          <w:sz w:val="18"/>
        </w:rPr>
        <w:t> </w:t>
      </w:r>
      <w:r>
        <w:rPr>
          <w:sz w:val="18"/>
        </w:rPr>
        <w:t>asset</w:t>
      </w:r>
      <w:r>
        <w:rPr>
          <w:spacing w:val="14"/>
          <w:sz w:val="18"/>
        </w:rPr>
        <w:t> </w:t>
      </w:r>
      <w:r>
        <w:rPr>
          <w:spacing w:val="-2"/>
          <w:sz w:val="18"/>
        </w:rPr>
        <w:t>management)</w:t>
      </w:r>
    </w:p>
    <w:p>
      <w:pPr>
        <w:pStyle w:val="ListParagraph"/>
        <w:numPr>
          <w:ilvl w:val="0"/>
          <w:numId w:val="2"/>
        </w:numPr>
        <w:tabs>
          <w:tab w:pos="529" w:val="left" w:leader="none"/>
        </w:tabs>
        <w:spacing w:line="345" w:lineRule="exact" w:before="0" w:after="0"/>
        <w:ind w:left="529" w:right="0" w:hanging="296"/>
        <w:jc w:val="left"/>
        <w:rPr>
          <w:sz w:val="18"/>
        </w:rPr>
      </w:pPr>
      <w:r>
        <w:rPr>
          <w:sz w:val="18"/>
        </w:rPr>
        <w:t>Merger-of-equals</w:t>
      </w:r>
      <w:r>
        <w:rPr>
          <w:spacing w:val="17"/>
          <w:sz w:val="18"/>
        </w:rPr>
        <w:t> </w:t>
      </w:r>
      <w:r>
        <w:rPr>
          <w:sz w:val="18"/>
        </w:rPr>
        <w:t>structuring</w:t>
      </w:r>
      <w:r>
        <w:rPr>
          <w:spacing w:val="17"/>
          <w:sz w:val="18"/>
        </w:rPr>
        <w:t> </w:t>
      </w:r>
      <w:r>
        <w:rPr>
          <w:sz w:val="18"/>
        </w:rPr>
        <w:t>and</w:t>
      </w:r>
      <w:r>
        <w:rPr>
          <w:spacing w:val="18"/>
          <w:sz w:val="18"/>
        </w:rPr>
        <w:t> </w:t>
      </w:r>
      <w:r>
        <w:rPr>
          <w:sz w:val="18"/>
        </w:rPr>
        <w:t>social-issue</w:t>
      </w:r>
      <w:r>
        <w:rPr>
          <w:spacing w:val="17"/>
          <w:sz w:val="18"/>
        </w:rPr>
        <w:t> </w:t>
      </w:r>
      <w:r>
        <w:rPr>
          <w:spacing w:val="-2"/>
          <w:sz w:val="18"/>
        </w:rPr>
        <w:t>negotiation</w:t>
      </w:r>
    </w:p>
    <w:p>
      <w:pPr>
        <w:pStyle w:val="ListParagraph"/>
        <w:numPr>
          <w:ilvl w:val="0"/>
          <w:numId w:val="2"/>
        </w:numPr>
        <w:tabs>
          <w:tab w:pos="529" w:val="left" w:leader="none"/>
        </w:tabs>
        <w:spacing w:line="345" w:lineRule="exact" w:before="0" w:after="0"/>
        <w:ind w:left="529" w:right="0" w:hanging="296"/>
        <w:jc w:val="left"/>
        <w:rPr>
          <w:sz w:val="18"/>
        </w:rPr>
      </w:pPr>
      <w:r>
        <w:rPr>
          <w:spacing w:val="-2"/>
          <w:w w:val="105"/>
          <w:sz w:val="18"/>
        </w:rPr>
        <w:t>Bank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capital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raising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(sub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debt,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preferred,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common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equity)</w:t>
      </w:r>
    </w:p>
    <w:p>
      <w:pPr>
        <w:pStyle w:val="ListParagraph"/>
        <w:numPr>
          <w:ilvl w:val="0"/>
          <w:numId w:val="2"/>
        </w:numPr>
        <w:tabs>
          <w:tab w:pos="529" w:val="left" w:leader="none"/>
        </w:tabs>
        <w:spacing w:line="345" w:lineRule="exact" w:before="0" w:after="0"/>
        <w:ind w:left="529" w:right="0" w:hanging="296"/>
        <w:jc w:val="left"/>
        <w:rPr>
          <w:sz w:val="18"/>
        </w:rPr>
      </w:pPr>
      <w:r>
        <w:rPr>
          <w:sz w:val="18"/>
        </w:rPr>
        <w:t>Fairness</w:t>
      </w:r>
      <w:r>
        <w:rPr>
          <w:spacing w:val="13"/>
          <w:sz w:val="18"/>
        </w:rPr>
        <w:t> </w:t>
      </w:r>
      <w:r>
        <w:rPr>
          <w:sz w:val="18"/>
        </w:rPr>
        <w:t>opinions</w:t>
      </w:r>
      <w:r>
        <w:rPr>
          <w:spacing w:val="14"/>
          <w:sz w:val="18"/>
        </w:rPr>
        <w:t> </w:t>
      </w:r>
      <w:r>
        <w:rPr>
          <w:sz w:val="18"/>
        </w:rPr>
        <w:t>and</w:t>
      </w:r>
      <w:r>
        <w:rPr>
          <w:spacing w:val="13"/>
          <w:sz w:val="18"/>
        </w:rPr>
        <w:t> </w:t>
      </w:r>
      <w:r>
        <w:rPr>
          <w:sz w:val="18"/>
        </w:rPr>
        <w:t>board-level</w:t>
      </w:r>
      <w:r>
        <w:rPr>
          <w:spacing w:val="14"/>
          <w:sz w:val="18"/>
        </w:rPr>
        <w:t> </w:t>
      </w:r>
      <w:r>
        <w:rPr>
          <w:spacing w:val="-2"/>
          <w:sz w:val="18"/>
        </w:rPr>
        <w:t>advisory</w:t>
      </w:r>
    </w:p>
    <w:p>
      <w:pPr>
        <w:pStyle w:val="ListParagraph"/>
        <w:numPr>
          <w:ilvl w:val="0"/>
          <w:numId w:val="2"/>
        </w:numPr>
        <w:tabs>
          <w:tab w:pos="529" w:val="left" w:leader="none"/>
        </w:tabs>
        <w:spacing w:line="345" w:lineRule="exact" w:before="0" w:after="0"/>
        <w:ind w:left="529" w:right="0" w:hanging="296"/>
        <w:jc w:val="left"/>
        <w:rPr>
          <w:sz w:val="18"/>
        </w:rPr>
      </w:pPr>
      <w:r>
        <w:rPr>
          <w:sz w:val="18"/>
        </w:rPr>
        <w:t>Bank</w:t>
      </w:r>
      <w:r>
        <w:rPr>
          <w:spacing w:val="13"/>
          <w:sz w:val="18"/>
        </w:rPr>
        <w:t> </w:t>
      </w:r>
      <w:r>
        <w:rPr>
          <w:sz w:val="18"/>
        </w:rPr>
        <w:t>regulatory</w:t>
      </w:r>
      <w:r>
        <w:rPr>
          <w:spacing w:val="13"/>
          <w:sz w:val="18"/>
        </w:rPr>
        <w:t> </w:t>
      </w:r>
      <w:r>
        <w:rPr>
          <w:sz w:val="18"/>
        </w:rPr>
        <w:t>frameworks</w:t>
      </w:r>
      <w:r>
        <w:rPr>
          <w:spacing w:val="14"/>
          <w:sz w:val="18"/>
        </w:rPr>
        <w:t> </w:t>
      </w:r>
      <w:r>
        <w:rPr>
          <w:sz w:val="18"/>
        </w:rPr>
        <w:t>(Federal</w:t>
      </w:r>
      <w:r>
        <w:rPr>
          <w:spacing w:val="13"/>
          <w:sz w:val="18"/>
        </w:rPr>
        <w:t> </w:t>
      </w:r>
      <w:r>
        <w:rPr>
          <w:sz w:val="18"/>
        </w:rPr>
        <w:t>Reserve,</w:t>
      </w:r>
      <w:r>
        <w:rPr>
          <w:spacing w:val="14"/>
          <w:sz w:val="18"/>
        </w:rPr>
        <w:t> </w:t>
      </w:r>
      <w:r>
        <w:rPr>
          <w:sz w:val="18"/>
        </w:rPr>
        <w:t>OCC,</w:t>
      </w:r>
      <w:r>
        <w:rPr>
          <w:spacing w:val="13"/>
          <w:sz w:val="18"/>
        </w:rPr>
        <w:t> </w:t>
      </w:r>
      <w:r>
        <w:rPr>
          <w:sz w:val="18"/>
        </w:rPr>
        <w:t>FDIC,</w:t>
      </w:r>
      <w:r>
        <w:rPr>
          <w:spacing w:val="13"/>
          <w:sz w:val="18"/>
        </w:rPr>
        <w:t> </w:t>
      </w:r>
      <w:r>
        <w:rPr>
          <w:sz w:val="18"/>
        </w:rPr>
        <w:t>state</w:t>
      </w:r>
      <w:r>
        <w:rPr>
          <w:spacing w:val="14"/>
          <w:sz w:val="18"/>
        </w:rPr>
        <w:t> </w:t>
      </w:r>
      <w:r>
        <w:rPr>
          <w:spacing w:val="-2"/>
          <w:sz w:val="18"/>
        </w:rPr>
        <w:t>insurance)</w:t>
      </w:r>
    </w:p>
    <w:p>
      <w:pPr>
        <w:pStyle w:val="ListParagraph"/>
        <w:numPr>
          <w:ilvl w:val="0"/>
          <w:numId w:val="2"/>
        </w:numPr>
        <w:tabs>
          <w:tab w:pos="529" w:val="left" w:leader="none"/>
        </w:tabs>
        <w:spacing w:line="345" w:lineRule="exact" w:before="0" w:after="0"/>
        <w:ind w:left="529" w:right="0" w:hanging="296"/>
        <w:jc w:val="left"/>
        <w:rPr>
          <w:sz w:val="18"/>
        </w:rPr>
      </w:pPr>
      <w:r>
        <w:rPr>
          <w:sz w:val="18"/>
        </w:rPr>
        <w:t>Pro</w:t>
      </w:r>
      <w:r>
        <w:rPr>
          <w:spacing w:val="12"/>
          <w:sz w:val="18"/>
        </w:rPr>
        <w:t> </w:t>
      </w:r>
      <w:r>
        <w:rPr>
          <w:sz w:val="18"/>
        </w:rPr>
        <w:t>forma</w:t>
      </w:r>
      <w:r>
        <w:rPr>
          <w:spacing w:val="12"/>
          <w:sz w:val="18"/>
        </w:rPr>
        <w:t> </w:t>
      </w:r>
      <w:r>
        <w:rPr>
          <w:sz w:val="18"/>
        </w:rPr>
        <w:t>EPS</w:t>
      </w:r>
      <w:r>
        <w:rPr>
          <w:spacing w:val="13"/>
          <w:sz w:val="18"/>
        </w:rPr>
        <w:t> </w:t>
      </w:r>
      <w:r>
        <w:rPr>
          <w:sz w:val="18"/>
        </w:rPr>
        <w:t>accretion/dilution</w:t>
      </w:r>
      <w:r>
        <w:rPr>
          <w:spacing w:val="12"/>
          <w:sz w:val="18"/>
        </w:rPr>
        <w:t> </w:t>
      </w:r>
      <w:r>
        <w:rPr>
          <w:sz w:val="18"/>
        </w:rPr>
        <w:t>and</w:t>
      </w:r>
      <w:r>
        <w:rPr>
          <w:spacing w:val="9"/>
          <w:sz w:val="18"/>
        </w:rPr>
        <w:t> </w:t>
      </w:r>
      <w:r>
        <w:rPr>
          <w:sz w:val="18"/>
        </w:rPr>
        <w:t>TBV</w:t>
      </w:r>
      <w:r>
        <w:rPr>
          <w:spacing w:val="12"/>
          <w:sz w:val="18"/>
        </w:rPr>
        <w:t> </w:t>
      </w:r>
      <w:r>
        <w:rPr>
          <w:sz w:val="18"/>
        </w:rPr>
        <w:t>earnback</w:t>
      </w:r>
      <w:r>
        <w:rPr>
          <w:spacing w:val="13"/>
          <w:sz w:val="18"/>
        </w:rPr>
        <w:t> </w:t>
      </w:r>
      <w:r>
        <w:rPr>
          <w:spacing w:val="-2"/>
          <w:sz w:val="18"/>
        </w:rPr>
        <w:t>modeling</w:t>
      </w:r>
    </w:p>
    <w:p>
      <w:pPr>
        <w:pStyle w:val="ListParagraph"/>
        <w:numPr>
          <w:ilvl w:val="0"/>
          <w:numId w:val="2"/>
        </w:numPr>
        <w:tabs>
          <w:tab w:pos="529" w:val="left" w:leader="none"/>
        </w:tabs>
        <w:spacing w:line="345" w:lineRule="exact" w:before="0" w:after="0"/>
        <w:ind w:left="529" w:right="0" w:hanging="296"/>
        <w:jc w:val="left"/>
        <w:rPr>
          <w:sz w:val="18"/>
        </w:rPr>
      </w:pPr>
      <w:r>
        <w:rPr>
          <w:sz w:val="18"/>
        </w:rPr>
        <w:t>Origination</w:t>
      </w:r>
      <w:r>
        <w:rPr>
          <w:spacing w:val="16"/>
          <w:sz w:val="18"/>
        </w:rPr>
        <w:t> </w:t>
      </w:r>
      <w:r>
        <w:rPr>
          <w:sz w:val="18"/>
        </w:rPr>
        <w:t>and</w:t>
      </w:r>
      <w:r>
        <w:rPr>
          <w:spacing w:val="16"/>
          <w:sz w:val="18"/>
        </w:rPr>
        <w:t> </w:t>
      </w:r>
      <w:r>
        <w:rPr>
          <w:sz w:val="18"/>
        </w:rPr>
        <w:t>C-suite/board</w:t>
      </w:r>
      <w:r>
        <w:rPr>
          <w:spacing w:val="16"/>
          <w:sz w:val="18"/>
        </w:rPr>
        <w:t> </w:t>
      </w:r>
      <w:r>
        <w:rPr>
          <w:sz w:val="18"/>
        </w:rPr>
        <w:t>relationship</w:t>
      </w:r>
      <w:r>
        <w:rPr>
          <w:spacing w:val="16"/>
          <w:sz w:val="18"/>
        </w:rPr>
        <w:t> </w:t>
      </w:r>
      <w:r>
        <w:rPr>
          <w:spacing w:val="-2"/>
          <w:sz w:val="18"/>
        </w:rPr>
        <w:t>management</w:t>
      </w:r>
    </w:p>
    <w:p>
      <w:pPr>
        <w:pStyle w:val="ListParagraph"/>
        <w:numPr>
          <w:ilvl w:val="0"/>
          <w:numId w:val="2"/>
        </w:numPr>
        <w:tabs>
          <w:tab w:pos="529" w:val="left" w:leader="none"/>
        </w:tabs>
        <w:spacing w:line="345" w:lineRule="exact" w:before="0" w:after="0"/>
        <w:ind w:left="529" w:right="0" w:hanging="296"/>
        <w:jc w:val="left"/>
        <w:rPr>
          <w:sz w:val="18"/>
        </w:rPr>
      </w:pPr>
      <w:r>
        <w:rPr>
          <w:sz w:val="18"/>
        </w:rPr>
        <w:t>Sell-side</w:t>
      </w:r>
      <w:r>
        <w:rPr>
          <w:spacing w:val="13"/>
          <w:sz w:val="18"/>
        </w:rPr>
        <w:t> </w:t>
      </w:r>
      <w:r>
        <w:rPr>
          <w:sz w:val="18"/>
        </w:rPr>
        <w:t>and</w:t>
      </w:r>
      <w:r>
        <w:rPr>
          <w:spacing w:val="13"/>
          <w:sz w:val="18"/>
        </w:rPr>
        <w:t> </w:t>
      </w:r>
      <w:r>
        <w:rPr>
          <w:sz w:val="18"/>
        </w:rPr>
        <w:t>buy-side</w:t>
      </w:r>
      <w:r>
        <w:rPr>
          <w:spacing w:val="13"/>
          <w:sz w:val="18"/>
        </w:rPr>
        <w:t> </w:t>
      </w:r>
      <w:r>
        <w:rPr>
          <w:sz w:val="18"/>
        </w:rPr>
        <w:t>execution</w:t>
      </w:r>
      <w:r>
        <w:rPr>
          <w:spacing w:val="13"/>
          <w:sz w:val="18"/>
        </w:rPr>
        <w:t> </w:t>
      </w:r>
      <w:r>
        <w:rPr>
          <w:spacing w:val="-2"/>
          <w:sz w:val="18"/>
        </w:rPr>
        <w:t>leadership</w:t>
      </w:r>
    </w:p>
    <w:p>
      <w:pPr>
        <w:pStyle w:val="ListParagraph"/>
        <w:numPr>
          <w:ilvl w:val="0"/>
          <w:numId w:val="2"/>
        </w:numPr>
        <w:tabs>
          <w:tab w:pos="529" w:val="left" w:leader="none"/>
        </w:tabs>
        <w:spacing w:line="345" w:lineRule="exact" w:before="0" w:after="0"/>
        <w:ind w:left="529" w:right="0" w:hanging="296"/>
        <w:jc w:val="left"/>
        <w:rPr>
          <w:sz w:val="18"/>
        </w:rPr>
      </w:pPr>
      <w:r>
        <w:rPr>
          <w:sz w:val="18"/>
        </w:rPr>
        <w:t>Team</w:t>
      </w:r>
      <w:r>
        <w:rPr>
          <w:spacing w:val="8"/>
          <w:sz w:val="18"/>
        </w:rPr>
        <w:t> </w:t>
      </w:r>
      <w:r>
        <w:rPr>
          <w:sz w:val="18"/>
        </w:rPr>
        <w:t>building,</w:t>
      </w:r>
      <w:r>
        <w:rPr>
          <w:spacing w:val="8"/>
          <w:sz w:val="18"/>
        </w:rPr>
        <w:t> </w:t>
      </w:r>
      <w:r>
        <w:rPr>
          <w:sz w:val="18"/>
        </w:rPr>
        <w:t>recruiting,</w:t>
      </w:r>
      <w:r>
        <w:rPr>
          <w:spacing w:val="9"/>
          <w:sz w:val="18"/>
        </w:rPr>
        <w:t> </w:t>
      </w:r>
      <w:r>
        <w:rPr>
          <w:sz w:val="18"/>
        </w:rPr>
        <w:t>and</w:t>
      </w:r>
      <w:r>
        <w:rPr>
          <w:spacing w:val="8"/>
          <w:sz w:val="18"/>
        </w:rPr>
        <w:t> </w:t>
      </w:r>
      <w:r>
        <w:rPr>
          <w:sz w:val="18"/>
        </w:rPr>
        <w:t>senior</w:t>
      </w:r>
      <w:r>
        <w:rPr>
          <w:spacing w:val="9"/>
          <w:sz w:val="18"/>
        </w:rPr>
        <w:t> </w:t>
      </w:r>
      <w:r>
        <w:rPr>
          <w:sz w:val="18"/>
        </w:rPr>
        <w:t>banker</w:t>
      </w:r>
      <w:r>
        <w:rPr>
          <w:spacing w:val="8"/>
          <w:sz w:val="18"/>
        </w:rPr>
        <w:t> </w:t>
      </w:r>
      <w:r>
        <w:rPr>
          <w:spacing w:val="-2"/>
          <w:sz w:val="18"/>
        </w:rPr>
        <w:t>development</w:t>
      </w:r>
    </w:p>
    <w:p>
      <w:pPr>
        <w:pStyle w:val="ListParagraph"/>
        <w:numPr>
          <w:ilvl w:val="0"/>
          <w:numId w:val="2"/>
        </w:numPr>
        <w:tabs>
          <w:tab w:pos="529" w:val="left" w:leader="none"/>
        </w:tabs>
        <w:spacing w:line="345" w:lineRule="exact" w:before="0" w:after="0"/>
        <w:ind w:left="529" w:right="0" w:hanging="296"/>
        <w:jc w:val="left"/>
        <w:rPr>
          <w:sz w:val="18"/>
        </w:rPr>
      </w:pPr>
      <w:r>
        <w:rPr>
          <w:sz w:val="18"/>
        </w:rPr>
        <w:t>FDIC-assisted</w:t>
      </w:r>
      <w:r>
        <w:rPr>
          <w:spacing w:val="15"/>
          <w:sz w:val="18"/>
        </w:rPr>
        <w:t> </w:t>
      </w:r>
      <w:r>
        <w:rPr>
          <w:sz w:val="18"/>
        </w:rPr>
        <w:t>transactions</w:t>
      </w:r>
      <w:r>
        <w:rPr>
          <w:spacing w:val="15"/>
          <w:sz w:val="18"/>
        </w:rPr>
        <w:t> </w:t>
      </w:r>
      <w:r>
        <w:rPr>
          <w:sz w:val="18"/>
        </w:rPr>
        <w:t>and</w:t>
      </w:r>
      <w:r>
        <w:rPr>
          <w:spacing w:val="16"/>
          <w:sz w:val="18"/>
        </w:rPr>
        <w:t> </w:t>
      </w:r>
      <w:r>
        <w:rPr>
          <w:sz w:val="18"/>
        </w:rPr>
        <w:t>distressed</w:t>
      </w:r>
      <w:r>
        <w:rPr>
          <w:spacing w:val="15"/>
          <w:sz w:val="18"/>
        </w:rPr>
        <w:t> </w:t>
      </w:r>
      <w:r>
        <w:rPr>
          <w:sz w:val="18"/>
        </w:rPr>
        <w:t>bank</w:t>
      </w:r>
      <w:r>
        <w:rPr>
          <w:spacing w:val="15"/>
          <w:sz w:val="18"/>
        </w:rPr>
        <w:t> </w:t>
      </w:r>
      <w:r>
        <w:rPr>
          <w:spacing w:val="-2"/>
          <w:sz w:val="18"/>
        </w:rPr>
        <w:t>resolutions</w:t>
      </w:r>
    </w:p>
    <w:p>
      <w:pPr>
        <w:pStyle w:val="ListParagraph"/>
        <w:numPr>
          <w:ilvl w:val="0"/>
          <w:numId w:val="2"/>
        </w:numPr>
        <w:tabs>
          <w:tab w:pos="529" w:val="left" w:leader="none"/>
        </w:tabs>
        <w:spacing w:line="345" w:lineRule="exact" w:before="0" w:after="0"/>
        <w:ind w:left="529" w:right="0" w:hanging="296"/>
        <w:jc w:val="left"/>
        <w:rPr>
          <w:sz w:val="18"/>
        </w:rPr>
      </w:pPr>
      <w:r>
        <w:rPr>
          <w:sz w:val="18"/>
        </w:rPr>
        <w:t>Insurance</w:t>
      </w:r>
      <w:r>
        <w:rPr>
          <w:spacing w:val="11"/>
          <w:sz w:val="18"/>
        </w:rPr>
        <w:t> </w:t>
      </w:r>
      <w:r>
        <w:rPr>
          <w:sz w:val="18"/>
        </w:rPr>
        <w:t>carrier</w:t>
      </w:r>
      <w:r>
        <w:rPr>
          <w:spacing w:val="12"/>
          <w:sz w:val="18"/>
        </w:rPr>
        <w:t> </w:t>
      </w:r>
      <w:r>
        <w:rPr>
          <w:sz w:val="18"/>
        </w:rPr>
        <w:t>valuation</w:t>
      </w:r>
      <w:r>
        <w:rPr>
          <w:spacing w:val="12"/>
          <w:sz w:val="18"/>
        </w:rPr>
        <w:t> </w:t>
      </w:r>
      <w:r>
        <w:rPr>
          <w:sz w:val="18"/>
        </w:rPr>
        <w:t>(life,</w:t>
      </w:r>
      <w:r>
        <w:rPr>
          <w:spacing w:val="11"/>
          <w:sz w:val="18"/>
        </w:rPr>
        <w:t> </w:t>
      </w:r>
      <w:r>
        <w:rPr>
          <w:sz w:val="18"/>
        </w:rPr>
        <w:t>P&amp;C,</w:t>
      </w:r>
      <w:r>
        <w:rPr>
          <w:spacing w:val="12"/>
          <w:sz w:val="18"/>
        </w:rPr>
        <w:t> </w:t>
      </w:r>
      <w:r>
        <w:rPr>
          <w:spacing w:val="-2"/>
          <w:sz w:val="18"/>
        </w:rPr>
        <w:t>specialty)</w:t>
      </w:r>
    </w:p>
    <w:p>
      <w:pPr>
        <w:pStyle w:val="ListParagraph"/>
        <w:numPr>
          <w:ilvl w:val="0"/>
          <w:numId w:val="2"/>
        </w:numPr>
        <w:tabs>
          <w:tab w:pos="529" w:val="left" w:leader="none"/>
        </w:tabs>
        <w:spacing w:line="351" w:lineRule="exact" w:before="0" w:after="0"/>
        <w:ind w:left="529" w:right="0" w:hanging="296"/>
        <w:jc w:val="left"/>
        <w:rPr>
          <w:sz w:val="18"/>
        </w:rPr>
      </w:pPr>
      <w:r>
        <w:rPr>
          <w:sz w:val="18"/>
        </w:rPr>
        <w:t>P&amp;L</w:t>
      </w:r>
      <w:r>
        <w:rPr>
          <w:spacing w:val="5"/>
          <w:sz w:val="18"/>
        </w:rPr>
        <w:t> </w:t>
      </w:r>
      <w:r>
        <w:rPr>
          <w:sz w:val="18"/>
        </w:rPr>
        <w:t>management</w:t>
      </w:r>
      <w:r>
        <w:rPr>
          <w:spacing w:val="15"/>
          <w:sz w:val="18"/>
        </w:rPr>
        <w:t> </w:t>
      </w:r>
      <w:r>
        <w:rPr>
          <w:sz w:val="18"/>
        </w:rPr>
        <w:t>and</w:t>
      </w:r>
      <w:r>
        <w:rPr>
          <w:spacing w:val="14"/>
          <w:sz w:val="18"/>
        </w:rPr>
        <w:t> </w:t>
      </w:r>
      <w:r>
        <w:rPr>
          <w:sz w:val="18"/>
        </w:rPr>
        <w:t>investment</w:t>
      </w:r>
      <w:r>
        <w:rPr>
          <w:spacing w:val="15"/>
          <w:sz w:val="18"/>
        </w:rPr>
        <w:t> </w:t>
      </w:r>
      <w:r>
        <w:rPr>
          <w:sz w:val="18"/>
        </w:rPr>
        <w:t>banking</w:t>
      </w:r>
      <w:r>
        <w:rPr>
          <w:spacing w:val="15"/>
          <w:sz w:val="18"/>
        </w:rPr>
        <w:t> </w:t>
      </w:r>
      <w:r>
        <w:rPr>
          <w:sz w:val="18"/>
        </w:rPr>
        <w:t>practice</w:t>
      </w:r>
      <w:r>
        <w:rPr>
          <w:spacing w:val="14"/>
          <w:sz w:val="18"/>
        </w:rPr>
        <w:t> </w:t>
      </w:r>
      <w:r>
        <w:rPr>
          <w:spacing w:val="-2"/>
          <w:sz w:val="18"/>
        </w:rPr>
        <w:t>leadership</w:t>
      </w:r>
    </w:p>
    <w:sectPr>
      <w:pgSz w:w="11920" w:h="16860"/>
      <w:pgMar w:top="0" w:bottom="0" w:left="566" w:right="85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Tahoma">
    <w:altName w:val="Tahoma"/>
    <w:charset w:val="0"/>
    <w:family w:val="swiss"/>
    <w:pitch w:val="variable"/>
  </w:font>
  <w:font w:name="Nueva Std Extended">
    <w:altName w:val="Nueva Std Extended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•"/>
      <w:lvlJc w:val="left"/>
      <w:pPr>
        <w:ind w:left="531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4"/>
        <w:sz w:val="31"/>
        <w:szCs w:val="3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36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2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28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24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21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17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513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509" w:hanging="298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1702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580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460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340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220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101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981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861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741" w:hanging="298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hanging="296"/>
    </w:pPr>
    <w:rPr>
      <w:rFonts w:ascii="Arial" w:hAnsi="Arial" w:eastAsia="Arial" w:cs="Arial"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345" w:lineRule="exact"/>
      <w:ind w:left="529" w:hanging="296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karen.yamamoto@example.com" TargetMode="Externa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2026-07-08T05:46:24Z</dcterms:created>
  <dcterms:modified xsi:type="dcterms:W3CDTF">2026-07-08T05:46:24Z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2026-07-08T00:00:00Z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2026-07-08T00:00:00Z</vt:filetime>
  </property>
  <property fmtid="{D5CDD505-2E9C-101B-9397-08002B2CF9AE}" pid="5" name="Producer">
    <vt:lpwstr>pdf-merger-js</vt:lpwstr>
  </property>
</Properties>
</file>