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9"/>
        <w:rPr>
          <w:rFonts w:ascii="Times New Roman"/>
          <w:sz w:val="89"/>
        </w:rPr>
      </w:pPr>
    </w:p>
    <w:p>
      <w:pPr>
        <w:spacing w:before="0"/>
        <w:ind w:left="4604" w:right="606" w:firstLine="0"/>
        <w:jc w:val="center"/>
        <w:rPr>
          <w:sz w:val="89"/>
        </w:rPr>
      </w:pPr>
      <w:r>
        <w:rPr>
          <w:b/>
          <w:color w:val="FFFFFF"/>
          <w:spacing w:val="12"/>
          <w:sz w:val="89"/>
        </w:rPr>
        <w:t>EMMA</w:t>
      </w:r>
      <w:r>
        <w:rPr>
          <w:b/>
          <w:color w:val="FFFFFF"/>
          <w:spacing w:val="39"/>
          <w:sz w:val="89"/>
        </w:rPr>
        <w:t> </w:t>
      </w:r>
      <w:r>
        <w:rPr>
          <w:color w:val="FFFFFF"/>
          <w:spacing w:val="11"/>
          <w:sz w:val="89"/>
        </w:rPr>
        <w:t>PEREZ</w:t>
      </w:r>
    </w:p>
    <w:p>
      <w:pPr>
        <w:spacing w:before="194"/>
        <w:ind w:left="4623" w:right="606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Customer</w:t>
      </w:r>
      <w:r>
        <w:rPr>
          <w:b/>
          <w:color w:val="FFFFFF"/>
          <w:spacing w:val="11"/>
          <w:sz w:val="20"/>
        </w:rPr>
        <w:t> </w:t>
      </w:r>
      <w:r>
        <w:rPr>
          <w:b/>
          <w:color w:val="FFFFFF"/>
          <w:sz w:val="20"/>
        </w:rPr>
        <w:t>Success</w:t>
      </w:r>
      <w:r>
        <w:rPr>
          <w:b/>
          <w:color w:val="FFFFFF"/>
          <w:spacing w:val="12"/>
          <w:sz w:val="20"/>
        </w:rPr>
        <w:t> </w:t>
      </w:r>
      <w:r>
        <w:rPr>
          <w:b/>
          <w:color w:val="FFFFFF"/>
          <w:spacing w:val="-2"/>
          <w:sz w:val="20"/>
        </w:rPr>
        <w:t>Manager</w: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0"/>
        <w:ind w:left="7164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2447924</wp:posOffset>
                </wp:positionH>
                <wp:positionV relativeFrom="paragraph">
                  <wp:posOffset>81058</wp:posOffset>
                </wp:positionV>
                <wp:extent cx="9525" cy="85058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525" cy="8505825"/>
                          <a:chExt cx="9525" cy="8505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181975"/>
                            <a:ext cx="95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50">
                                <a:moveTo>
                                  <a:pt x="0" y="323849"/>
                                </a:moveTo>
                                <a:lnTo>
                                  <a:pt x="9524" y="3238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525" cy="818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181975">
                                <a:moveTo>
                                  <a:pt x="9524" y="8181974"/>
                                </a:moveTo>
                                <a:lnTo>
                                  <a:pt x="0" y="81819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181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6.382584pt;width:.75pt;height:669.75pt;mso-position-horizontal-relative:page;mso-position-vertical-relative:paragraph;z-index:-15809536" id="docshapegroup1" coordorigin="3855,128" coordsize="15,13395">
                <v:rect style="position:absolute;left:3855;top:13012;width:15;height:510" id="docshape2" filled="true" fillcolor="#1f1f1f" stroked="false">
                  <v:fill opacity="15420f" type="solid"/>
                </v:rect>
                <v:rect style="position:absolute;left:3855;top:127;width:15;height:12885" id="docshape3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  <w:r>
        <w:rPr>
          <w:b/>
          <w:color w:val="073762"/>
          <w:sz w:val="20"/>
        </w:rPr>
        <w:t>ABOUT</w:t>
      </w:r>
      <w:r>
        <w:rPr>
          <w:b/>
          <w:color w:val="073762"/>
          <w:spacing w:val="11"/>
          <w:sz w:val="20"/>
        </w:rPr>
        <w:t> </w:t>
      </w:r>
      <w:r>
        <w:rPr>
          <w:b/>
          <w:color w:val="073762"/>
          <w:spacing w:val="-5"/>
          <w:sz w:val="20"/>
        </w:rPr>
        <w:t>ME</w:t>
      </w: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27"/>
        <w:rPr>
          <w:b/>
          <w:sz w:val="20"/>
        </w:rPr>
      </w:pPr>
    </w:p>
    <w:p>
      <w:pPr>
        <w:pStyle w:val="BodyText"/>
        <w:tabs>
          <w:tab w:pos="957" w:val="left" w:leader="none"/>
        </w:tabs>
        <w:spacing w:before="0"/>
        <w:ind w:left="39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color w:val="1F1F1F"/>
        </w:rPr>
        <w:t>(801)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0167</w:t>
      </w:r>
    </w:p>
    <w:p>
      <w:pPr>
        <w:pStyle w:val="BodyText"/>
        <w:spacing w:line="295" w:lineRule="auto" w:before="100"/>
        <w:ind w:left="957" w:right="153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356155</wp:posOffset>
            </wp:positionH>
            <wp:positionV relativeFrom="paragraph">
              <wp:posOffset>123588</wp:posOffset>
            </wp:positionV>
            <wp:extent cx="174258" cy="20067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1F1F1F"/>
            <w:spacing w:val="-2"/>
          </w:rPr>
          <w:t>elena.vasquez@example.co</w:t>
        </w:r>
      </w:hyperlink>
      <w:r>
        <w:rPr>
          <w:color w:val="1F1F1F"/>
          <w:spacing w:val="-2"/>
        </w:rPr>
        <w:t> </w:t>
      </w:r>
      <w:r>
        <w:rPr>
          <w:color w:val="1F1F1F"/>
          <w:spacing w:val="-10"/>
          <w:w w:val="105"/>
        </w:rPr>
        <w:t>m</w:t>
      </w:r>
    </w:p>
    <w:p>
      <w:pPr>
        <w:pStyle w:val="BodyText"/>
        <w:tabs>
          <w:tab w:pos="957" w:val="left" w:leader="none"/>
        </w:tabs>
        <w:spacing w:before="95"/>
        <w:ind w:left="400"/>
      </w:pPr>
      <w:r>
        <w:rPr>
          <w:position w:val="-11"/>
        </w:rPr>
        <w:drawing>
          <wp:inline distT="0" distB="0" distL="0" distR="0">
            <wp:extent cx="199480" cy="20076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color w:val="1F1F1F"/>
        </w:rPr>
        <w:t>Salt</w:t>
      </w:r>
      <w:r>
        <w:rPr>
          <w:color w:val="1F1F1F"/>
          <w:spacing w:val="-2"/>
        </w:rPr>
        <w:t> </w:t>
      </w:r>
      <w:r>
        <w:rPr>
          <w:color w:val="1F1F1F"/>
        </w:rPr>
        <w:t>Lake</w:t>
      </w:r>
      <w:r>
        <w:rPr>
          <w:color w:val="1F1F1F"/>
          <w:spacing w:val="-1"/>
        </w:rPr>
        <w:t> </w:t>
      </w:r>
      <w:r>
        <w:rPr>
          <w:color w:val="1F1F1F"/>
        </w:rPr>
        <w:t>City,</w:t>
      </w:r>
      <w:r>
        <w:rPr>
          <w:color w:val="1F1F1F"/>
          <w:spacing w:val="-2"/>
        </w:rPr>
        <w:t> </w:t>
      </w:r>
      <w:r>
        <w:rPr>
          <w:color w:val="1F1F1F"/>
        </w:rPr>
        <w:t>UT</w:t>
      </w:r>
      <w:r>
        <w:rPr>
          <w:color w:val="1F1F1F"/>
          <w:spacing w:val="-1"/>
        </w:rPr>
        <w:t> </w:t>
      </w:r>
      <w:r>
        <w:rPr>
          <w:color w:val="1F1F1F"/>
          <w:spacing w:val="-2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27"/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KEY</w:t>
      </w:r>
      <w:r>
        <w:rPr>
          <w:b/>
          <w:color w:val="073762"/>
          <w:spacing w:val="3"/>
          <w:sz w:val="20"/>
        </w:rPr>
        <w:t> </w:t>
      </w:r>
      <w:r>
        <w:rPr>
          <w:b/>
          <w:color w:val="073762"/>
          <w:spacing w:val="-2"/>
          <w:sz w:val="20"/>
        </w:rPr>
        <w:t>SKILLS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209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Enterprise</w:t>
      </w:r>
      <w:r>
        <w:rPr>
          <w:color w:val="1F1F1F"/>
          <w:spacing w:val="3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account</w:t>
      </w:r>
      <w:r>
        <w:rPr>
          <w:color w:val="1F1F1F"/>
          <w:spacing w:val="2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Net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revenue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retention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Executive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sponsor mapping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Value</w:t>
      </w:r>
      <w:r>
        <w:rPr>
          <w:color w:val="1F1F1F"/>
          <w:spacing w:val="1"/>
          <w:sz w:val="18"/>
        </w:rPr>
        <w:t> </w:t>
      </w:r>
      <w:r>
        <w:rPr>
          <w:color w:val="1F1F1F"/>
          <w:sz w:val="18"/>
        </w:rPr>
        <w:t>realization</w:t>
      </w:r>
      <w:r>
        <w:rPr>
          <w:color w:val="1F1F1F"/>
          <w:spacing w:val="1"/>
          <w:sz w:val="18"/>
        </w:rPr>
        <w:t> </w:t>
      </w:r>
      <w:r>
        <w:rPr>
          <w:color w:val="1F1F1F"/>
          <w:spacing w:val="-2"/>
          <w:sz w:val="18"/>
        </w:rPr>
        <w:t>frameworks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53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Salesforce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Gainsight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Catalyst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QBR </w:t>
      </w:r>
      <w:r>
        <w:rPr>
          <w:color w:val="1F1F1F"/>
          <w:spacing w:val="-2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Customer</w:t>
      </w:r>
      <w:r>
        <w:rPr>
          <w:color w:val="1F1F1F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advisory</w:t>
      </w:r>
      <w:r>
        <w:rPr>
          <w:color w:val="1F1F1F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boards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Renewal</w:t>
      </w:r>
      <w:r>
        <w:rPr>
          <w:color w:val="1F1F1F"/>
          <w:spacing w:val="5"/>
          <w:sz w:val="18"/>
        </w:rPr>
        <w:t> </w:t>
      </w:r>
      <w:r>
        <w:rPr>
          <w:color w:val="1F1F1F"/>
          <w:spacing w:val="-2"/>
          <w:sz w:val="18"/>
        </w:rPr>
        <w:t>negotiation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95" w:lineRule="auto" w:before="138" w:after="0"/>
        <w:ind w:left="696" w:right="644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Cross-functional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program leadership</w:t>
      </w:r>
    </w:p>
    <w:p>
      <w:pPr>
        <w:spacing w:line="292" w:lineRule="auto" w:before="70"/>
        <w:ind w:left="163" w:right="91" w:hanging="1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Senior CSM with 9 years across martech and analytics SaaS, currently managing strategic enterprise accounts in the $250K-$1.2M ARR band. Track record of turning new-logo deployments into multi-year expansion stories through executive alignment and disciplined value tracking.</w:t>
      </w:r>
    </w:p>
    <w:p>
      <w:pPr>
        <w:pStyle w:val="BodyText"/>
        <w:spacing w:before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2619374</wp:posOffset>
                </wp:positionH>
                <wp:positionV relativeFrom="paragraph">
                  <wp:posOffset>139945</wp:posOffset>
                </wp:positionV>
                <wp:extent cx="462915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29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9150" h="9525">
                              <a:moveTo>
                                <a:pt x="4629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29149" y="0"/>
                              </a:lnTo>
                              <a:lnTo>
                                <a:pt x="4629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>
                            <a:alpha val="360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6.249985pt;margin-top:11.019296pt;width:364.499971pt;height:.75pt;mso-position-horizontal-relative:page;mso-position-vertical-relative:paragraph;z-index:-15728640;mso-wrap-distance-left:0;mso-wrap-distance-right:0" id="docshape4" filled="true" fillcolor="#1f1f1f" stroked="false">
                <v:fill opacity="23645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67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PROFESSIONAL</w:t>
      </w:r>
      <w:r>
        <w:rPr>
          <w:b/>
          <w:color w:val="073762"/>
          <w:spacing w:val="17"/>
          <w:sz w:val="20"/>
        </w:rPr>
        <w:t> </w:t>
      </w:r>
      <w:r>
        <w:rPr>
          <w:b/>
          <w:color w:val="073762"/>
          <w:spacing w:val="-2"/>
          <w:sz w:val="20"/>
        </w:rPr>
        <w:t>EXPERIENCE</w:t>
      </w:r>
    </w:p>
    <w:p>
      <w:pPr>
        <w:spacing w:before="220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Senior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Customer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Success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Manager,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Enterprise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Quoros</w:t>
      </w:r>
      <w:r>
        <w:rPr>
          <w:spacing w:val="1"/>
          <w:sz w:val="20"/>
        </w:rPr>
        <w:t> </w:t>
      </w:r>
      <w:r>
        <w:rPr>
          <w:sz w:val="20"/>
        </w:rPr>
        <w:t>Analytics,</w:t>
      </w:r>
      <w:r>
        <w:rPr>
          <w:spacing w:val="1"/>
          <w:sz w:val="20"/>
        </w:rPr>
        <w:t> </w:t>
      </w:r>
      <w:r>
        <w:rPr>
          <w:sz w:val="20"/>
        </w:rPr>
        <w:t>Salt</w:t>
      </w:r>
      <w:r>
        <w:rPr>
          <w:spacing w:val="1"/>
          <w:sz w:val="20"/>
        </w:rPr>
        <w:t> </w:t>
      </w:r>
      <w:r>
        <w:rPr>
          <w:sz w:val="20"/>
        </w:rPr>
        <w:t>Lake</w:t>
      </w:r>
      <w:r>
        <w:rPr>
          <w:spacing w:val="1"/>
          <w:sz w:val="20"/>
        </w:rPr>
        <w:t> </w:t>
      </w:r>
      <w:r>
        <w:rPr>
          <w:sz w:val="20"/>
        </w:rPr>
        <w:t>City,</w:t>
      </w:r>
      <w:r>
        <w:rPr>
          <w:spacing w:val="1"/>
          <w:sz w:val="20"/>
        </w:rPr>
        <w:t> </w:t>
      </w:r>
      <w:r>
        <w:rPr>
          <w:sz w:val="20"/>
        </w:rPr>
        <w:t>UT</w:t>
      </w:r>
      <w:r>
        <w:rPr>
          <w:spacing w:val="2"/>
          <w:sz w:val="20"/>
        </w:rPr>
        <w:t> </w:t>
      </w:r>
      <w:r>
        <w:rPr>
          <w:sz w:val="20"/>
        </w:rPr>
        <w:t>|</w:t>
      </w:r>
      <w:r>
        <w:rPr>
          <w:spacing w:val="1"/>
          <w:sz w:val="20"/>
        </w:rPr>
        <w:t> </w:t>
      </w:r>
      <w:r>
        <w:rPr>
          <w:sz w:val="20"/>
        </w:rPr>
        <w:t>2021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78" w:lineRule="auto" w:before="149" w:after="0"/>
        <w:ind w:left="975" w:right="185" w:hanging="302"/>
        <w:jc w:val="left"/>
        <w:rPr>
          <w:sz w:val="18"/>
        </w:rPr>
      </w:pPr>
      <w:r>
        <w:rPr>
          <w:color w:val="1F1F1F"/>
          <w:w w:val="105"/>
          <w:sz w:val="18"/>
        </w:rPr>
        <w:t>Manage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14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enterprise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accounts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totaling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$9.8M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ARR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net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revenue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retention of 121% over the trailing four quarters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40" w:lineRule="auto" w:before="120" w:after="0"/>
        <w:ind w:left="97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Led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save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of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Fortune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500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retailer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ﬂagged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non-renewal,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recovering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spacing w:val="-10"/>
          <w:w w:val="105"/>
          <w:sz w:val="18"/>
        </w:rPr>
        <w:t>a</w:t>
      </w:r>
    </w:p>
    <w:p>
      <w:pPr>
        <w:pStyle w:val="BodyText"/>
        <w:spacing w:before="33"/>
        <w:ind w:left="975"/>
      </w:pPr>
      <w:r>
        <w:rPr>
          <w:color w:val="1F1F1F"/>
          <w:w w:val="105"/>
        </w:rPr>
        <w:t>$640K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contract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through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joint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success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plan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8"/>
          <w:w w:val="105"/>
        </w:rPr>
        <w:t> </w:t>
      </w:r>
      <w:r>
        <w:rPr>
          <w:color w:val="1F1F1F"/>
          <w:spacing w:val="-5"/>
          <w:w w:val="105"/>
        </w:rPr>
        <w:t>CRO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153" w:after="0"/>
        <w:ind w:left="975" w:right="83" w:hanging="302"/>
        <w:jc w:val="left"/>
        <w:rPr>
          <w:sz w:val="18"/>
        </w:rPr>
      </w:pPr>
      <w:r>
        <w:rPr>
          <w:color w:val="1F1F1F"/>
          <w:w w:val="105"/>
          <w:sz w:val="18"/>
        </w:rPr>
        <w:t>Co-built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value-realization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framework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Marketing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that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became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standard QBR deck across the enterprise segment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248" w:hanging="302"/>
        <w:jc w:val="left"/>
        <w:rPr>
          <w:sz w:val="18"/>
        </w:rPr>
      </w:pPr>
      <w:r>
        <w:rPr>
          <w:color w:val="1F1F1F"/>
          <w:w w:val="105"/>
          <w:sz w:val="18"/>
        </w:rPr>
        <w:t>Partner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Product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customer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advisory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board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of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9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design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partners;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their feedback shaped two of last year's major releases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0" w:after="0"/>
        <w:ind w:left="975" w:right="802" w:hanging="302"/>
        <w:jc w:val="left"/>
        <w:rPr>
          <w:sz w:val="18"/>
        </w:rPr>
      </w:pPr>
      <w:r>
        <w:rPr>
          <w:color w:val="1F1F1F"/>
          <w:w w:val="105"/>
          <w:sz w:val="18"/>
        </w:rPr>
        <w:t>Coach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four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CSMs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enterprise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renewal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motion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executive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sponsor </w:t>
      </w:r>
      <w:r>
        <w:rPr>
          <w:color w:val="1F1F1F"/>
          <w:spacing w:val="-2"/>
          <w:w w:val="105"/>
          <w:sz w:val="18"/>
        </w:rPr>
        <w:t>mapping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Customer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Success</w:t>
      </w:r>
      <w:r>
        <w:rPr>
          <w:color w:val="1F1F1F"/>
          <w:spacing w:val="11"/>
          <w:sz w:val="20"/>
        </w:rPr>
        <w:t> </w:t>
      </w:r>
      <w:r>
        <w:rPr>
          <w:color w:val="1F1F1F"/>
          <w:spacing w:val="-2"/>
          <w:sz w:val="20"/>
        </w:rPr>
        <w:t>Manager</w:t>
      </w:r>
    </w:p>
    <w:p>
      <w:pPr>
        <w:spacing w:before="116"/>
        <w:ind w:left="139" w:right="0" w:firstLine="0"/>
        <w:jc w:val="left"/>
        <w:rPr>
          <w:sz w:val="20"/>
        </w:rPr>
      </w:pPr>
      <w:r>
        <w:rPr>
          <w:sz w:val="20"/>
        </w:rPr>
        <w:t>Mapledock</w:t>
      </w:r>
      <w:r>
        <w:rPr>
          <w:spacing w:val="12"/>
          <w:sz w:val="20"/>
        </w:rPr>
        <w:t> </w:t>
      </w:r>
      <w:r>
        <w:rPr>
          <w:sz w:val="20"/>
        </w:rPr>
        <w:t>Marketing</w:t>
      </w:r>
      <w:r>
        <w:rPr>
          <w:spacing w:val="13"/>
          <w:sz w:val="20"/>
        </w:rPr>
        <w:t> </w:t>
      </w:r>
      <w:r>
        <w:rPr>
          <w:sz w:val="20"/>
        </w:rPr>
        <w:t>Cloud,</w:t>
      </w:r>
      <w:r>
        <w:rPr>
          <w:spacing w:val="12"/>
          <w:sz w:val="20"/>
        </w:rPr>
        <w:t> </w:t>
      </w:r>
      <w:r>
        <w:rPr>
          <w:sz w:val="20"/>
        </w:rPr>
        <w:t>Boise,</w:t>
      </w:r>
      <w:r>
        <w:rPr>
          <w:spacing w:val="13"/>
          <w:sz w:val="20"/>
        </w:rPr>
        <w:t> </w:t>
      </w:r>
      <w:r>
        <w:rPr>
          <w:sz w:val="20"/>
        </w:rPr>
        <w:t>ID</w:t>
      </w:r>
      <w:r>
        <w:rPr>
          <w:spacing w:val="12"/>
          <w:sz w:val="20"/>
        </w:rPr>
        <w:t> </w:t>
      </w:r>
      <w:r>
        <w:rPr>
          <w:sz w:val="20"/>
        </w:rPr>
        <w:t>|</w:t>
      </w:r>
      <w:r>
        <w:rPr>
          <w:spacing w:val="13"/>
          <w:sz w:val="20"/>
        </w:rPr>
        <w:t> </w:t>
      </w:r>
      <w:r>
        <w:rPr>
          <w:sz w:val="20"/>
        </w:rPr>
        <w:t>2018</w:t>
      </w:r>
      <w:r>
        <w:rPr>
          <w:spacing w:val="12"/>
          <w:sz w:val="20"/>
        </w:rPr>
        <w:t> </w:t>
      </w:r>
      <w:r>
        <w:rPr>
          <w:sz w:val="20"/>
        </w:rPr>
        <w:t>-</w:t>
      </w:r>
      <w:r>
        <w:rPr>
          <w:spacing w:val="13"/>
          <w:sz w:val="20"/>
        </w:rPr>
        <w:t> </w:t>
      </w:r>
      <w:r>
        <w:rPr>
          <w:spacing w:val="-4"/>
          <w:sz w:val="20"/>
        </w:rPr>
        <w:t>2021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148" w:after="0"/>
        <w:ind w:left="975" w:right="324" w:hanging="302"/>
        <w:jc w:val="left"/>
        <w:rPr>
          <w:sz w:val="18"/>
        </w:rPr>
      </w:pPr>
      <w:r>
        <w:rPr>
          <w:color w:val="1F1F1F"/>
          <w:w w:val="105"/>
          <w:sz w:val="18"/>
        </w:rPr>
        <w:t>Carried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28-account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commercial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book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grew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expansion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ARR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by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roughly 40% year over year for two consecutive years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227" w:hanging="302"/>
        <w:jc w:val="left"/>
        <w:rPr>
          <w:sz w:val="18"/>
        </w:rPr>
      </w:pPr>
      <w:r>
        <w:rPr>
          <w:color w:val="1F1F1F"/>
          <w:w w:val="105"/>
          <w:sz w:val="18"/>
        </w:rPr>
        <w:t>Reduced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time-to-value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standard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implementation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from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about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95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days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to 58 by rebuilding the kickoff template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641" w:hanging="302"/>
        <w:jc w:val="left"/>
        <w:rPr>
          <w:sz w:val="18"/>
        </w:rPr>
      </w:pPr>
      <w:r>
        <w:rPr>
          <w:color w:val="1F1F1F"/>
          <w:w w:val="105"/>
          <w:sz w:val="18"/>
        </w:rPr>
        <w:t>Ran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ﬁrst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internal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certiﬁcation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program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new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CSMs;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eight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of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ﬁrst cohort were still on the team two years later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544" w:hanging="302"/>
        <w:jc w:val="left"/>
        <w:rPr>
          <w:sz w:val="18"/>
        </w:rPr>
      </w:pPr>
      <w:r>
        <w:rPr>
          <w:color w:val="1F1F1F"/>
          <w:w w:val="105"/>
          <w:sz w:val="18"/>
        </w:rPr>
        <w:t>Acted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as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customer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voice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in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sprint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reviews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campaign-attribution </w:t>
      </w:r>
      <w:r>
        <w:rPr>
          <w:color w:val="1F1F1F"/>
          <w:spacing w:val="-2"/>
          <w:w w:val="105"/>
          <w:sz w:val="18"/>
        </w:rPr>
        <w:t>module</w:t>
      </w:r>
    </w:p>
    <w:p>
      <w:pPr>
        <w:pStyle w:val="ListParagraph"/>
        <w:spacing w:after="0" w:line="295" w:lineRule="auto"/>
        <w:jc w:val="left"/>
        <w:rPr>
          <w:sz w:val="18"/>
        </w:rPr>
        <w:sectPr>
          <w:type w:val="continuous"/>
          <w:pgSz w:w="11920" w:h="16860"/>
          <w:pgMar w:top="0" w:bottom="0" w:left="141" w:right="283"/>
          <w:cols w:num="2" w:equalWidth="0">
            <w:col w:w="3454" w:space="396"/>
            <w:col w:w="7646"/>
          </w:cols>
        </w:sectPr>
      </w:pPr>
    </w:p>
    <w:p>
      <w:pPr>
        <w:spacing w:before="177"/>
        <w:ind w:left="39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810048" id="docshape5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240982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687945" cy="2409825"/>
                          <a:chExt cx="7687945" cy="24098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507709" y="380999"/>
                            <a:ext cx="9525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552575">
                                <a:moveTo>
                                  <a:pt x="0" y="1552575"/>
                                </a:moveTo>
                                <a:lnTo>
                                  <a:pt x="9524" y="1552575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2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8924"/>
                            <a:ext cx="2124074" cy="2120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189.75pt;mso-position-horizontal-relative:page;mso-position-vertical-relative:page;z-index:-15809024" id="docshapegroup6" coordorigin="-94,0" coordsize="12107,3795">
                <v:rect style="position:absolute;left:3855;top:600;width:15;height:2445" id="docshape7" filled="true" fillcolor="#1f1f1f" stroked="false">
                  <v:fill opacity="15420f" type="solid"/>
                </v:rect>
                <v:rect style="position:absolute;left:0;top:0;width:11919;height:3045" id="docshape8" filled="true" fillcolor="#073762" stroked="false">
                  <v:fill opacity="32899f" type="solid"/>
                </v:rect>
                <v:shape style="position:absolute;left:0;top:274;width:11919;height:2726" id="docshape9" coordorigin="0,275" coordsize="11919,2726" path="m11918,3000l0,3000,0,835,11918,275,11918,3000xe" filled="true" fillcolor="#073762" stroked="false">
                  <v:path arrowok="t"/>
                  <v:fill type="solid"/>
                </v:shape>
                <v:rect style="position:absolute;left:0;top:2905;width:11919;height:189" id="docshape10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390;top:455;width:3345;height:3340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1F1F1F"/>
          <w:sz w:val="20"/>
        </w:rPr>
        <w:t>Implementation</w:t>
      </w:r>
      <w:r>
        <w:rPr>
          <w:color w:val="1F1F1F"/>
          <w:spacing w:val="15"/>
          <w:sz w:val="20"/>
        </w:rPr>
        <w:t> </w:t>
      </w:r>
      <w:r>
        <w:rPr>
          <w:color w:val="1F1F1F"/>
          <w:spacing w:val="-2"/>
          <w:sz w:val="20"/>
        </w:rPr>
        <w:t>Consultant</w:t>
      </w:r>
    </w:p>
    <w:p>
      <w:pPr>
        <w:spacing w:before="115"/>
        <w:ind w:left="3989" w:right="0" w:firstLine="0"/>
        <w:jc w:val="left"/>
        <w:rPr>
          <w:sz w:val="20"/>
        </w:rPr>
      </w:pPr>
      <w:r>
        <w:rPr>
          <w:sz w:val="20"/>
        </w:rPr>
        <w:t>Mapledock</w:t>
      </w:r>
      <w:r>
        <w:rPr>
          <w:spacing w:val="12"/>
          <w:sz w:val="20"/>
        </w:rPr>
        <w:t> </w:t>
      </w:r>
      <w:r>
        <w:rPr>
          <w:sz w:val="20"/>
        </w:rPr>
        <w:t>Marketing</w:t>
      </w:r>
      <w:r>
        <w:rPr>
          <w:spacing w:val="13"/>
          <w:sz w:val="20"/>
        </w:rPr>
        <w:t> </w:t>
      </w:r>
      <w:r>
        <w:rPr>
          <w:sz w:val="20"/>
        </w:rPr>
        <w:t>Cloud,</w:t>
      </w:r>
      <w:r>
        <w:rPr>
          <w:spacing w:val="12"/>
          <w:sz w:val="20"/>
        </w:rPr>
        <w:t> </w:t>
      </w:r>
      <w:r>
        <w:rPr>
          <w:sz w:val="20"/>
        </w:rPr>
        <w:t>Boise,</w:t>
      </w:r>
      <w:r>
        <w:rPr>
          <w:spacing w:val="13"/>
          <w:sz w:val="20"/>
        </w:rPr>
        <w:t> </w:t>
      </w:r>
      <w:r>
        <w:rPr>
          <w:sz w:val="20"/>
        </w:rPr>
        <w:t>ID</w:t>
      </w:r>
      <w:r>
        <w:rPr>
          <w:spacing w:val="12"/>
          <w:sz w:val="20"/>
        </w:rPr>
        <w:t> </w:t>
      </w:r>
      <w:r>
        <w:rPr>
          <w:sz w:val="20"/>
        </w:rPr>
        <w:t>|</w:t>
      </w:r>
      <w:r>
        <w:rPr>
          <w:spacing w:val="13"/>
          <w:sz w:val="20"/>
        </w:rPr>
        <w:t> </w:t>
      </w:r>
      <w:r>
        <w:rPr>
          <w:sz w:val="20"/>
        </w:rPr>
        <w:t>2016</w:t>
      </w:r>
      <w:r>
        <w:rPr>
          <w:spacing w:val="12"/>
          <w:sz w:val="20"/>
        </w:rPr>
        <w:t> </w:t>
      </w:r>
      <w:r>
        <w:rPr>
          <w:sz w:val="20"/>
        </w:rPr>
        <w:t>-</w:t>
      </w:r>
      <w:r>
        <w:rPr>
          <w:spacing w:val="13"/>
          <w:sz w:val="20"/>
        </w:rPr>
        <w:t> </w:t>
      </w:r>
      <w:r>
        <w:rPr>
          <w:spacing w:val="-4"/>
          <w:sz w:val="20"/>
        </w:rPr>
        <w:t>2018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95" w:lineRule="auto" w:before="149" w:after="0"/>
        <w:ind w:left="4825" w:right="508" w:hanging="302"/>
        <w:jc w:val="left"/>
        <w:rPr>
          <w:sz w:val="18"/>
        </w:rPr>
      </w:pPr>
      <w:r>
        <w:rPr>
          <w:color w:val="1F1F1F"/>
          <w:w w:val="105"/>
          <w:sz w:val="18"/>
        </w:rPr>
        <w:t>Delivered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35+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mid-market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implementations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including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data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migrations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from legacy ESPs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95" w:lineRule="auto" w:before="90" w:after="0"/>
        <w:ind w:left="4825" w:right="86" w:hanging="302"/>
        <w:jc w:val="left"/>
        <w:rPr>
          <w:sz w:val="18"/>
        </w:rPr>
      </w:pPr>
      <w:r>
        <w:rPr>
          <w:color w:val="1F1F1F"/>
          <w:w w:val="105"/>
          <w:sz w:val="18"/>
        </w:rPr>
        <w:t>Wrote</w:t>
      </w:r>
      <w:r>
        <w:rPr>
          <w:color w:val="1F1F1F"/>
          <w:spacing w:val="-14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runbook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that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Professional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Services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team</w:t>
      </w:r>
      <w:r>
        <w:rPr>
          <w:color w:val="1F1F1F"/>
          <w:spacing w:val="-14"/>
          <w:w w:val="105"/>
          <w:sz w:val="18"/>
        </w:rPr>
        <w:t> </w:t>
      </w:r>
      <w:r>
        <w:rPr>
          <w:color w:val="1F1F1F"/>
          <w:w w:val="105"/>
          <w:sz w:val="18"/>
        </w:rPr>
        <w:t>still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uses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HubSpot-to-Mapledock migrations</w:t>
      </w:r>
    </w:p>
    <w:p>
      <w:pPr>
        <w:pStyle w:val="ListParagraph"/>
        <w:numPr>
          <w:ilvl w:val="2"/>
          <w:numId w:val="1"/>
        </w:numPr>
        <w:tabs>
          <w:tab w:pos="4825" w:val="left" w:leader="none"/>
        </w:tabs>
        <w:spacing w:line="240" w:lineRule="auto" w:before="91" w:after="0"/>
        <w:ind w:left="482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Hit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billable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utilization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target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north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of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80%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across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two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ﬁscal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years</w:t>
      </w:r>
    </w:p>
    <w:p>
      <w:pPr>
        <w:pStyle w:val="BodyText"/>
        <w:spacing w:before="219"/>
        <w:rPr>
          <w:sz w:val="20"/>
        </w:rPr>
      </w:pPr>
    </w:p>
    <w:p>
      <w:pPr>
        <w:spacing w:before="1"/>
        <w:ind w:left="0" w:right="2314" w:firstLine="0"/>
        <w:jc w:val="center"/>
        <w:rPr>
          <w:b/>
          <w:sz w:val="20"/>
        </w:rPr>
      </w:pPr>
      <w:r>
        <w:rPr>
          <w:b/>
          <w:color w:val="073762"/>
          <w:spacing w:val="-2"/>
          <w:sz w:val="20"/>
        </w:rPr>
        <w:t>EDUCATION</w:t>
      </w:r>
    </w:p>
    <w:p>
      <w:pPr>
        <w:spacing w:after="0"/>
        <w:jc w:val="center"/>
        <w:rPr>
          <w:b/>
          <w:sz w:val="20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BodyText"/>
        <w:spacing w:befor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808000" id="docshape12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2447924</wp:posOffset>
                </wp:positionH>
                <wp:positionV relativeFrom="page">
                  <wp:posOffset>0</wp:posOffset>
                </wp:positionV>
                <wp:extent cx="9525" cy="107061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9525" cy="10706100"/>
                          <a:chExt cx="9525" cy="107061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-12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5" y="1314450"/>
                                </a:moveTo>
                                <a:lnTo>
                                  <a:pt x="0" y="1314450"/>
                                </a:lnTo>
                                <a:lnTo>
                                  <a:pt x="0" y="10706087"/>
                                </a:lnTo>
                                <a:lnTo>
                                  <a:pt x="9525" y="10706087"/>
                                </a:lnTo>
                                <a:lnTo>
                                  <a:pt x="9525" y="1314450"/>
                                </a:lnTo>
                                <a:close/>
                              </a:path>
                              <a:path w="9525" h="107061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25" y="3238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323849"/>
                            <a:ext cx="9525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90600">
                                <a:moveTo>
                                  <a:pt x="9524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.000005pt;width:.75pt;height:843pt;mso-position-horizontal-relative:page;mso-position-vertical-relative:page;z-index:15731712" id="docshapegroup13" coordorigin="3855,0" coordsize="15,16860">
                <v:shape style="position:absolute;left:3854;top:0;width:15;height:16860" id="docshape14" coordorigin="3855,0" coordsize="15,16860" path="m3870,2070l3855,2070,3855,16860,3870,16860,3870,2070xm3870,0l3855,0,3855,510,3870,510,3870,0xe" filled="true" fillcolor="#1f1f1f" stroked="false">
                  <v:path arrowok="t"/>
                  <v:fill opacity="15420f" type="solid"/>
                </v:shape>
                <v:rect style="position:absolute;left:3855;top:510;width:15;height:1560" id="docshape15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04"/>
        <w:rPr>
          <w:b/>
          <w:sz w:val="20"/>
        </w:rPr>
      </w:pPr>
    </w:p>
    <w:p>
      <w:pPr>
        <w:spacing w:before="1"/>
        <w:ind w:left="0" w:right="606" w:firstLine="0"/>
        <w:jc w:val="center"/>
        <w:rPr>
          <w:sz w:val="20"/>
        </w:rPr>
      </w:pPr>
      <w:r>
        <w:rPr>
          <w:color w:val="1F1F1F"/>
          <w:sz w:val="20"/>
        </w:rPr>
        <w:t>M.B.A.,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University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Utah,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4"/>
          <w:sz w:val="20"/>
        </w:rPr>
        <w:t>2018</w:t>
      </w:r>
    </w:p>
    <w:p>
      <w:pPr>
        <w:spacing w:before="220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B.A.</w:t>
      </w:r>
      <w:r>
        <w:rPr>
          <w:color w:val="1F1F1F"/>
          <w:spacing w:val="4"/>
          <w:sz w:val="20"/>
        </w:rPr>
        <w:t> </w:t>
      </w:r>
      <w:r>
        <w:rPr>
          <w:color w:val="1F1F1F"/>
          <w:sz w:val="20"/>
        </w:rPr>
        <w:t>in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Economics,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Boise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State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University,</w:t>
      </w:r>
      <w:r>
        <w:rPr>
          <w:color w:val="1F1F1F"/>
          <w:spacing w:val="5"/>
          <w:sz w:val="20"/>
        </w:rPr>
        <w:t> </w:t>
      </w:r>
      <w:r>
        <w:rPr>
          <w:color w:val="1F1F1F"/>
          <w:spacing w:val="-4"/>
          <w:sz w:val="20"/>
        </w:rPr>
        <w:t>2015</w:t>
      </w:r>
    </w:p>
    <w:sectPr>
      <w:pgSz w:w="11920" w:h="16860"/>
      <w:pgMar w:top="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numPicBullet w:numPicBulletId="1">
    <w:pict>
      <v:shape id="_x0000_i1076" type="#_x0000_t75" style="width:7.500000pt;height:7.500000pt" o:bullet="t">
        <v:imagedata r:id="rId1" o:title="image4.png"/>
      </v:shape>
    </w:pict>
  </w:numPicBullet>
  <w:numPicBullet w:numPicBulletId="2">
    <w:pict>
      <v:shape id="_x0000_i1077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96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975" w:hanging="3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2">
      <w:start w:val="0"/>
      <w:numFmt w:val="bullet"/>
      <w:lvlText w:val="&amp;"/>
      <w:lvlPicBulletId w:val="2"/>
      <w:lvlJc w:val="left"/>
      <w:pPr>
        <w:ind w:left="4825" w:hanging="3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67" w:hanging="3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15" w:hanging="3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3" w:hanging="3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11" w:hanging="3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59" w:hanging="3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" w:hanging="30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8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8"/>
      <w:ind w:left="696" w:hanging="30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elena.vasquez@example.co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2026-07-16T11:14:15Z</dcterms:created>
  <dcterms:modified xsi:type="dcterms:W3CDTF">2026-07-16T11:14:15Z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