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448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Betty</w:t>
      </w:r>
      <w:r>
        <w:rPr>
          <w:b/>
          <w:color w:val="FFFFFF"/>
          <w:spacing w:val="31"/>
          <w:sz w:val="74"/>
        </w:rPr>
        <w:t> </w:t>
      </w:r>
      <w:r>
        <w:rPr>
          <w:color w:val="FFFFFF"/>
          <w:spacing w:val="9"/>
          <w:sz w:val="74"/>
        </w:rPr>
        <w:t>Harris</w:t>
      </w:r>
    </w:p>
    <w:p>
      <w:pPr>
        <w:pStyle w:val="Heading2"/>
      </w:pPr>
      <w:r>
        <w:rPr>
          <w:color w:val="FFFFFF"/>
          <w:spacing w:val="-2"/>
        </w:rPr>
        <w:t>Professor</w:t>
      </w:r>
    </w:p>
    <w:p>
      <w:pPr>
        <w:spacing w:line="273" w:lineRule="auto" w:before="193"/>
        <w:ind w:left="448" w:right="409" w:firstLine="0"/>
        <w:jc w:val="left"/>
        <w:rPr>
          <w:sz w:val="16"/>
        </w:rPr>
      </w:pPr>
      <w:r>
        <w:rPr>
          <w:color w:val="FFFFFF"/>
          <w:w w:val="105"/>
          <w:sz w:val="16"/>
        </w:rPr>
        <w:t>Tenured Associate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Professor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History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focused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20th-century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labor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movements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Great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Lakes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region. Author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two academic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monographs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editor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Cambridge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series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working-class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studies.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Director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of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graduate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studies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19"/>
          <w:w w:val="105"/>
          <w:sz w:val="16"/>
        </w:rPr>
        <w:t> </w:t>
      </w:r>
      <w:r>
        <w:rPr>
          <w:color w:val="FFFFFF"/>
          <w:w w:val="105"/>
          <w:sz w:val="16"/>
        </w:rPr>
        <w:t>history </w:t>
      </w:r>
      <w:r>
        <w:rPr>
          <w:color w:val="FFFFFF"/>
          <w:spacing w:val="-2"/>
          <w:w w:val="105"/>
          <w:sz w:val="16"/>
        </w:rPr>
        <w:t>department.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91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820" w:bottom="280" w:left="425" w:right="425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42"/>
        <w:rPr>
          <w:sz w:val="20"/>
        </w:rPr>
      </w:pPr>
    </w:p>
    <w:p>
      <w:pPr>
        <w:pStyle w:val="Heading1"/>
      </w:pPr>
      <w:r>
        <w:rPr>
          <w:smallCaps/>
          <w:color w:val="F5F5F5"/>
          <w:w w:val="95"/>
        </w:rPr>
        <w:t>Contact</w:t>
      </w:r>
      <w:r>
        <w:rPr>
          <w:smallCaps/>
          <w:color w:val="F5F5F5"/>
          <w:spacing w:val="-3"/>
        </w:rPr>
        <w:t> </w:t>
      </w:r>
      <w:r>
        <w:rPr>
          <w:smallCaps/>
          <w:color w:val="F5F5F5"/>
          <w:spacing w:val="-2"/>
          <w:w w:val="90"/>
        </w:rPr>
        <w:t>Information</w:t>
      </w:r>
    </w:p>
    <w:p>
      <w:pPr>
        <w:spacing w:before="52"/>
        <w:ind w:left="58" w:right="0" w:firstLine="0"/>
        <w:jc w:val="left"/>
        <w:rPr>
          <w:b/>
          <w:sz w:val="28"/>
        </w:rPr>
      </w:pPr>
      <w:r>
        <w:rPr/>
        <w:br w:type="column"/>
      </w:r>
      <w:r>
        <w:rPr>
          <w:b/>
          <w:smallCaps/>
          <w:color w:val="9D784A"/>
          <w:spacing w:val="4"/>
          <w:w w:val="90"/>
          <w:sz w:val="28"/>
        </w:rPr>
        <w:t>Professional</w:t>
      </w:r>
      <w:r>
        <w:rPr>
          <w:b/>
          <w:smallCaps/>
          <w:color w:val="9D784A"/>
          <w:spacing w:val="55"/>
          <w:sz w:val="28"/>
        </w:rPr>
        <w:t> </w:t>
      </w:r>
      <w:r>
        <w:rPr>
          <w:b/>
          <w:smallCaps/>
          <w:color w:val="9D784A"/>
          <w:spacing w:val="-2"/>
          <w:w w:val="95"/>
          <w:sz w:val="28"/>
        </w:rPr>
        <w:t>Experience</w:t>
      </w:r>
    </w:p>
    <w:p>
      <w:pPr>
        <w:pStyle w:val="BodyText"/>
        <w:spacing w:before="40"/>
        <w:rPr>
          <w:b/>
          <w:sz w:val="20"/>
        </w:rPr>
      </w:pPr>
    </w:p>
    <w:p>
      <w:pPr>
        <w:pStyle w:val="BodyText"/>
        <w:spacing w:line="268" w:lineRule="auto"/>
        <w:ind w:left="170" w:right="1188"/>
      </w:pPr>
      <w:r>
        <w:rPr/>
        <w:t>Associate</w:t>
      </w:r>
      <w:r>
        <w:rPr>
          <w:spacing w:val="40"/>
        </w:rPr>
        <w:t> </w:t>
      </w:r>
      <w:r>
        <w:rPr/>
        <w:t>Professor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History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Greenmount</w:t>
      </w:r>
      <w:r>
        <w:rPr>
          <w:spacing w:val="40"/>
        </w:rPr>
        <w:t> </w:t>
      </w:r>
      <w:r>
        <w:rPr/>
        <w:t>College,</w:t>
      </w:r>
      <w:r>
        <w:rPr>
          <w:spacing w:val="40"/>
        </w:rPr>
        <w:t> </w:t>
      </w:r>
      <w:r>
        <w:rPr/>
        <w:t>Burlington,</w:t>
      </w:r>
      <w:r>
        <w:rPr>
          <w:spacing w:val="40"/>
        </w:rPr>
        <w:t> </w:t>
      </w:r>
      <w:r>
        <w:rPr/>
        <w:t>VT 2019 – Present</w:t>
      </w:r>
    </w:p>
    <w:p>
      <w:pPr>
        <w:pStyle w:val="BodyText"/>
        <w:spacing w:after="0" w:line="268" w:lineRule="auto"/>
        <w:sectPr>
          <w:type w:val="continuous"/>
          <w:pgSz w:w="11920" w:h="16860"/>
          <w:pgMar w:top="820" w:bottom="280" w:left="425" w:right="425"/>
          <w:cols w:num="2" w:equalWidth="0">
            <w:col w:w="2678" w:space="1153"/>
            <w:col w:w="7239"/>
          </w:cols>
        </w:sectPr>
      </w:pPr>
    </w:p>
    <w:p>
      <w:pPr>
        <w:pStyle w:val="BodyText"/>
        <w:spacing w:before="68"/>
        <w:ind w:left="597"/>
      </w:pPr>
      <w:r>
        <w:rPr>
          <w:color w:val="424242"/>
        </w:rPr>
        <w:t>(802)</w:t>
      </w:r>
      <w:r>
        <w:rPr>
          <w:color w:val="424242"/>
          <w:spacing w:val="16"/>
        </w:rPr>
        <w:t> </w:t>
      </w:r>
      <w:r>
        <w:rPr>
          <w:color w:val="424242"/>
        </w:rPr>
        <w:t>555-</w:t>
      </w:r>
      <w:r>
        <w:rPr>
          <w:color w:val="424242"/>
          <w:spacing w:val="-4"/>
        </w:rPr>
        <w:t>0163</w:t>
      </w:r>
    </w:p>
    <w:p>
      <w:pPr>
        <w:pStyle w:val="BodyText"/>
        <w:spacing w:before="96"/>
      </w:pPr>
    </w:p>
    <w:p>
      <w:pPr>
        <w:pStyle w:val="BodyText"/>
        <w:spacing w:line="609" w:lineRule="auto"/>
        <w:ind w:left="597"/>
      </w:pPr>
      <w:hyperlink r:id="rId5">
        <w:r>
          <w:rPr>
            <w:color w:val="424242"/>
            <w:spacing w:val="-2"/>
          </w:rPr>
          <w:t>m.lindgren@email.com</w:t>
        </w:r>
      </w:hyperlink>
      <w:r>
        <w:rPr>
          <w:color w:val="424242"/>
          <w:spacing w:val="-2"/>
        </w:rPr>
        <w:t> </w:t>
      </w:r>
      <w:r>
        <w:rPr>
          <w:color w:val="424242"/>
          <w:w w:val="105"/>
        </w:rPr>
        <w:t>Burlington, VT 12345</w:t>
      </w:r>
    </w:p>
    <w:p>
      <w:pPr>
        <w:pStyle w:val="Heading1"/>
        <w:spacing w:before="130"/>
      </w:pPr>
      <w:r>
        <w:rPr>
          <w:smallCaps/>
          <w:color w:val="F5F5F5"/>
          <w:spacing w:val="-2"/>
        </w:rPr>
        <w:t>Education</w:t>
      </w:r>
    </w:p>
    <w:p>
      <w:pPr>
        <w:pStyle w:val="BodyText"/>
        <w:spacing w:before="131"/>
        <w:rPr>
          <w:b/>
          <w:sz w:val="20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PhD in History, University of Michigan, </w:t>
      </w:r>
      <w:r>
        <w:rPr>
          <w:color w:val="424242"/>
          <w:spacing w:val="-4"/>
          <w:w w:val="105"/>
          <w:sz w:val="16"/>
        </w:rPr>
        <w:t>2013</w:t>
      </w:r>
    </w:p>
    <w:p>
      <w:pPr>
        <w:pStyle w:val="BodyText"/>
        <w:spacing w:before="101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MA in History, University of Michigan, </w:t>
      </w:r>
      <w:r>
        <w:rPr>
          <w:color w:val="424242"/>
          <w:spacing w:val="-4"/>
          <w:w w:val="105"/>
          <w:sz w:val="16"/>
        </w:rPr>
        <w:t>2008</w:t>
      </w:r>
    </w:p>
    <w:p>
      <w:pPr>
        <w:pStyle w:val="BodyText"/>
        <w:spacing w:before="87"/>
        <w:rPr>
          <w:sz w:val="16"/>
        </w:rPr>
      </w:pPr>
    </w:p>
    <w:p>
      <w:pPr>
        <w:spacing w:line="273" w:lineRule="auto" w:before="0"/>
        <w:ind w:left="170" w:right="0" w:firstLine="0"/>
        <w:jc w:val="left"/>
        <w:rPr>
          <w:sz w:val="16"/>
        </w:rPr>
      </w:pPr>
      <w:r>
        <w:rPr>
          <w:color w:val="424242"/>
          <w:w w:val="105"/>
          <w:sz w:val="16"/>
        </w:rPr>
        <w:t>BA in History, summa cum laude, University of Wisconsin-Madison, 2006</w:t>
      </w:r>
    </w:p>
    <w:p>
      <w:pPr>
        <w:pStyle w:val="BodyText"/>
        <w:rPr>
          <w:sz w:val="16"/>
        </w:rPr>
      </w:pPr>
    </w:p>
    <w:p>
      <w:pPr>
        <w:pStyle w:val="BodyText"/>
        <w:spacing w:before="45"/>
        <w:rPr>
          <w:sz w:val="16"/>
        </w:rPr>
      </w:pPr>
    </w:p>
    <w:p>
      <w:pPr>
        <w:pStyle w:val="Heading1"/>
      </w:pPr>
      <w:r>
        <w:rPr>
          <w:smallCaps/>
          <w:color w:val="F5F5F5"/>
        </w:rPr>
        <w:t>Key</w:t>
      </w:r>
      <w:r>
        <w:rPr>
          <w:smallCaps/>
          <w:color w:val="F5F5F5"/>
          <w:spacing w:val="-12"/>
        </w:rPr>
        <w:t> </w:t>
      </w:r>
      <w:r>
        <w:rPr>
          <w:smallCaps/>
          <w:color w:val="F5F5F5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148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Direct graduate studies for a department of 22 faculty and 38 MA and PhD</w:t>
      </w:r>
      <w:r>
        <w:rPr>
          <w:spacing w:val="40"/>
          <w:w w:val="105"/>
          <w:sz w:val="18"/>
        </w:rPr>
        <w:t> </w:t>
      </w:r>
      <w:r>
        <w:rPr>
          <w:w w:val="105"/>
          <w:sz w:val="18"/>
        </w:rPr>
        <w:t>students; rewrote the qualifying exam structure adopted in 2022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24" w:hanging="298"/>
        <w:jc w:val="left"/>
        <w:rPr>
          <w:position w:val="-4"/>
          <w:sz w:val="31"/>
        </w:rPr>
      </w:pPr>
      <w:r>
        <w:rPr>
          <w:w w:val="105"/>
          <w:sz w:val="18"/>
        </w:rPr>
        <w:t>Second monograph, A River of Picket Lines (Oxford University Press, 2023), received the Labor History Book Prize honorable mention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108" w:after="0"/>
        <w:ind w:left="523" w:right="277" w:hanging="298"/>
        <w:jc w:val="left"/>
        <w:rPr>
          <w:position w:val="-4"/>
          <w:sz w:val="31"/>
        </w:rPr>
      </w:pPr>
      <w:r>
        <w:rPr>
          <w:w w:val="105"/>
          <w:sz w:val="18"/>
        </w:rPr>
        <w:t>Teach HIS 305 (US Labor History) and HIS 720 (Historiography); average enrollment of 42 in the undergraduate course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8" w:after="0"/>
        <w:ind w:left="523" w:right="558" w:hanging="298"/>
        <w:jc w:val="left"/>
        <w:rPr>
          <w:position w:val="-4"/>
          <w:sz w:val="31"/>
        </w:rPr>
      </w:pPr>
      <w:r>
        <w:rPr>
          <w:w w:val="105"/>
          <w:sz w:val="18"/>
        </w:rPr>
        <w:t>Principal investigator on a $238,000 NEH collaborative research grant digitizing a regional steelworkers' union archive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10" w:hanging="298"/>
        <w:jc w:val="left"/>
        <w:rPr>
          <w:position w:val="-4"/>
          <w:sz w:val="31"/>
        </w:rPr>
      </w:pPr>
      <w:r>
        <w:rPr>
          <w:w w:val="105"/>
          <w:sz w:val="18"/>
        </w:rPr>
        <w:t>Chair 3 dissertation committees and serve on 7 others; placed 2 advisees in tenure-track jobs since promotion</w:t>
      </w:r>
    </w:p>
    <w:p>
      <w:pPr>
        <w:pStyle w:val="BodyText"/>
        <w:spacing w:before="151"/>
      </w:pPr>
    </w:p>
    <w:p>
      <w:pPr>
        <w:pStyle w:val="BodyText"/>
        <w:spacing w:line="268" w:lineRule="auto"/>
        <w:ind w:left="58" w:right="1240"/>
      </w:pPr>
      <w:r>
        <w:rPr/>
        <w:t>Assistant</w:t>
      </w:r>
      <w:r>
        <w:rPr>
          <w:spacing w:val="40"/>
        </w:rPr>
        <w:t> </w:t>
      </w:r>
      <w:r>
        <w:rPr/>
        <w:t>Professor</w:t>
      </w:r>
      <w:r>
        <w:rPr>
          <w:spacing w:val="40"/>
        </w:rPr>
        <w:t> </w:t>
      </w:r>
      <w:r>
        <w:rPr/>
        <w:t>of</w:t>
      </w:r>
      <w:r>
        <w:rPr>
          <w:spacing w:val="40"/>
        </w:rPr>
        <w:t> </w:t>
      </w:r>
      <w:r>
        <w:rPr/>
        <w:t>History</w:t>
      </w:r>
      <w:r>
        <w:rPr>
          <w:spacing w:val="40"/>
        </w:rPr>
        <w:t> </w:t>
      </w:r>
      <w:r>
        <w:rPr>
          <w:position w:val="2"/>
        </w:rPr>
        <w:t>|</w:t>
      </w:r>
      <w:r>
        <w:rPr>
          <w:spacing w:val="40"/>
          <w:position w:val="2"/>
        </w:rPr>
        <w:t> </w:t>
      </w:r>
      <w:r>
        <w:rPr/>
        <w:t>Greenmount</w:t>
      </w:r>
      <w:r>
        <w:rPr>
          <w:spacing w:val="40"/>
        </w:rPr>
        <w:t> </w:t>
      </w:r>
      <w:r>
        <w:rPr/>
        <w:t>College,</w:t>
      </w:r>
      <w:r>
        <w:rPr>
          <w:spacing w:val="40"/>
        </w:rPr>
        <w:t> </w:t>
      </w:r>
      <w:r>
        <w:rPr/>
        <w:t>Burlington,</w:t>
      </w:r>
      <w:r>
        <w:rPr>
          <w:spacing w:val="40"/>
        </w:rPr>
        <w:t> </w:t>
      </w:r>
      <w:r>
        <w:rPr/>
        <w:t>VT 2013 – 2019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95" w:after="0"/>
        <w:ind w:left="523" w:right="213" w:hanging="298"/>
        <w:jc w:val="left"/>
        <w:rPr>
          <w:position w:val="-4"/>
          <w:sz w:val="31"/>
        </w:rPr>
      </w:pPr>
      <w:r>
        <w:rPr>
          <w:w w:val="105"/>
          <w:sz w:val="18"/>
        </w:rPr>
        <w:t>Published first book with University of Illinois Press; reviewed in Journal of American History and Labor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201" w:lineRule="auto" w:before="82" w:after="0"/>
        <w:ind w:left="523" w:right="717" w:hanging="298"/>
        <w:jc w:val="left"/>
        <w:rPr>
          <w:position w:val="-4"/>
          <w:sz w:val="31"/>
        </w:rPr>
      </w:pPr>
      <w:r>
        <w:rPr>
          <w:w w:val="105"/>
          <w:sz w:val="18"/>
        </w:rPr>
        <w:t>Built a community oral history project with the Vermont AFL-CIO that produced 60+ recorded interviews</w:t>
      </w:r>
    </w:p>
    <w:p>
      <w:pPr>
        <w:pStyle w:val="ListParagraph"/>
        <w:numPr>
          <w:ilvl w:val="0"/>
          <w:numId w:val="1"/>
        </w:numPr>
        <w:tabs>
          <w:tab w:pos="521" w:val="left" w:leader="none"/>
          <w:tab w:pos="523" w:val="left" w:leader="none"/>
        </w:tabs>
        <w:spacing w:line="189" w:lineRule="auto" w:before="68" w:after="0"/>
        <w:ind w:left="523" w:right="300" w:hanging="298"/>
        <w:jc w:val="left"/>
        <w:rPr>
          <w:position w:val="-4"/>
          <w:sz w:val="31"/>
        </w:rPr>
      </w:pPr>
      <w:r>
        <w:rPr>
          <w:w w:val="105"/>
          <w:sz w:val="18"/>
        </w:rPr>
        <w:t>Founded the undergraduate History Workshop series, now in its eleventh </w:t>
      </w:r>
      <w:r>
        <w:rPr>
          <w:spacing w:val="-4"/>
          <w:w w:val="105"/>
          <w:sz w:val="18"/>
        </w:rPr>
        <w:t>year</w:t>
      </w:r>
    </w:p>
    <w:p>
      <w:pPr>
        <w:pStyle w:val="ListParagraph"/>
        <w:spacing w:after="0" w:line="189" w:lineRule="auto"/>
        <w:jc w:val="left"/>
        <w:rPr>
          <w:position w:val="-4"/>
          <w:sz w:val="31"/>
        </w:rPr>
        <w:sectPr>
          <w:type w:val="continuous"/>
          <w:pgSz w:w="11920" w:h="16860"/>
          <w:pgMar w:top="820" w:bottom="280" w:left="425" w:right="425"/>
          <w:cols w:num="2" w:equalWidth="0">
            <w:col w:w="3174" w:space="769"/>
            <w:col w:w="7127"/>
          </w:cols>
        </w:sectPr>
      </w:pP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45" w:after="0"/>
        <w:ind w:left="467" w:right="118" w:hanging="298"/>
        <w:jc w:val="left"/>
        <w:rPr>
          <w:color w:val="424242"/>
          <w:position w:val="-5"/>
          <w:sz w:val="31"/>
        </w:rPr>
      </w:pPr>
      <w:r>
        <w:rPr>
          <w:position w:val="-5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6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61924" y="10172698"/>
                            <a:ext cx="2266950" cy="533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533400">
                                <a:moveTo>
                                  <a:pt x="0" y="533399"/>
                                </a:moveTo>
                                <a:lnTo>
                                  <a:pt x="2266949" y="533399"/>
                                </a:lnTo>
                                <a:lnTo>
                                  <a:pt x="22669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33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784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8565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19350">
                                <a:moveTo>
                                  <a:pt x="7568183" y="2419349"/>
                                </a:moveTo>
                                <a:lnTo>
                                  <a:pt x="0" y="24193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193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1912" y="2419349"/>
                            <a:ext cx="2266950" cy="7753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6950" h="7753350">
                                <a:moveTo>
                                  <a:pt x="2266950" y="4133850"/>
                                </a:moveTo>
                                <a:lnTo>
                                  <a:pt x="0" y="4133850"/>
                                </a:lnTo>
                                <a:lnTo>
                                  <a:pt x="0" y="7753350"/>
                                </a:lnTo>
                                <a:lnTo>
                                  <a:pt x="2266950" y="7753350"/>
                                </a:lnTo>
                                <a:lnTo>
                                  <a:pt x="2266950" y="4133850"/>
                                </a:lnTo>
                                <a:close/>
                              </a:path>
                              <a:path w="2266950" h="7753350">
                                <a:moveTo>
                                  <a:pt x="2266950" y="2295525"/>
                                </a:moveTo>
                                <a:lnTo>
                                  <a:pt x="0" y="2295525"/>
                                </a:lnTo>
                                <a:lnTo>
                                  <a:pt x="0" y="3762375"/>
                                </a:lnTo>
                                <a:lnTo>
                                  <a:pt x="2266950" y="3762375"/>
                                </a:lnTo>
                                <a:lnTo>
                                  <a:pt x="2266950" y="2295525"/>
                                </a:lnTo>
                                <a:close/>
                              </a:path>
                              <a:path w="2266950" h="7753350">
                                <a:moveTo>
                                  <a:pt x="2266950" y="771525"/>
                                </a:moveTo>
                                <a:lnTo>
                                  <a:pt x="0" y="771525"/>
                                </a:lnTo>
                                <a:lnTo>
                                  <a:pt x="0" y="1924050"/>
                                </a:lnTo>
                                <a:lnTo>
                                  <a:pt x="2266950" y="1924050"/>
                                </a:lnTo>
                                <a:lnTo>
                                  <a:pt x="2266950" y="771525"/>
                                </a:lnTo>
                                <a:close/>
                              </a:path>
                              <a:path w="2266950" h="7753350">
                                <a:moveTo>
                                  <a:pt x="22669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  <a:lnTo>
                                  <a:pt x="2266950" y="400050"/>
                                </a:lnTo>
                                <a:lnTo>
                                  <a:pt x="22669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784A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819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7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3188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3324224"/>
                            <a:ext cx="161924" cy="161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999" y="36385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13" y="3981449"/>
                            <a:ext cx="161911" cy="1663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0" y="4343399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7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4712207"/>
                            <a:ext cx="124967" cy="2529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0" y="6181724"/>
                            <a:ext cx="2552700" cy="371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0" h="371475">
                                <a:moveTo>
                                  <a:pt x="2552699" y="371474"/>
                                </a:moveTo>
                                <a:lnTo>
                                  <a:pt x="0" y="371474"/>
                                </a:lnTo>
                                <a:lnTo>
                                  <a:pt x="0" y="0"/>
                                </a:lnTo>
                                <a:lnTo>
                                  <a:pt x="2552699" y="0"/>
                                </a:lnTo>
                                <a:lnTo>
                                  <a:pt x="2552699" y="371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D784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29255" y="6550151"/>
                            <a:ext cx="124967" cy="2560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79840" id="docshapegroup1" coordorigin="0,0" coordsize="11919,16860">
                <v:rect style="position:absolute;left:255;top:16020;width:3570;height:840" id="docshape2" filled="true" fillcolor="#9d784a" stroked="false">
                  <v:fill opacity="32899f" type="solid"/>
                </v:rect>
                <v:rect style="position:absolute;left:0;top:0;width:11919;height:3810" id="docshape3" filled="true" fillcolor="#424242" stroked="false">
                  <v:fill type="solid"/>
                </v:rect>
                <v:shape style="position:absolute;left:254;top:3810;width:3570;height:12210" id="docshape4" coordorigin="255,3810" coordsize="3570,12210" path="m3825,10320l255,10320,255,16020,3825,16020,3825,10320xm3825,7425l255,7425,255,9735,3825,9735,3825,7425xm3825,5025l255,5025,255,6840,3825,6840,3825,5025xm3825,3810l255,3810,255,4440,3825,4440,3825,3810xe" filled="true" fillcolor="#9d784a" stroked="false">
                  <v:path arrowok="t"/>
                  <v:fill opacity="32899f" type="solid"/>
                </v:shape>
                <v:rect style="position:absolute;left:0;top:4440;width:4020;height:585" id="docshape5" filled="true" fillcolor="#9d784a" stroked="false">
                  <v:fill type="solid"/>
                </v:rect>
                <v:shape style="position:absolute;left:3825;top:5020;width:197;height:399" type="#_x0000_t75" id="docshape6" stroked="false">
                  <v:imagedata r:id="rId6" o:title=""/>
                </v:shape>
                <v:shape style="position:absolute;left:600;top:5235;width:255;height:255" type="#_x0000_t75" id="docshape7" stroked="false">
                  <v:imagedata r:id="rId7" o:title=""/>
                </v:shape>
                <v:shape style="position:absolute;left:600;top:5730;width:255;height:300" type="#_x0000_t75" id="docshape8" stroked="false">
                  <v:imagedata r:id="rId8" o:title=""/>
                </v:shape>
                <v:shape style="position:absolute;left:600;top:6270;width:255;height:263" type="#_x0000_t75" id="docshape9" stroked="false">
                  <v:imagedata r:id="rId9" o:title=""/>
                </v:shape>
                <v:rect style="position:absolute;left:0;top:6840;width:4020;height:585" id="docshape10" filled="true" fillcolor="#9d784a" stroked="false">
                  <v:fill type="solid"/>
                </v:rect>
                <v:shape style="position:absolute;left:3825;top:7420;width:197;height:399" type="#_x0000_t75" id="docshape11" stroked="false">
                  <v:imagedata r:id="rId6" o:title=""/>
                </v:shape>
                <v:rect style="position:absolute;left:0;top:9735;width:4020;height:585" id="docshape12" filled="true" fillcolor="#9d784a" stroked="false">
                  <v:fill type="solid"/>
                </v:rect>
                <v:shape style="position:absolute;left:3825;top:10315;width:197;height:404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424242"/>
          <w:w w:val="105"/>
          <w:sz w:val="16"/>
        </w:rPr>
        <w:t>Archival research and oral history </w:t>
      </w:r>
      <w:r>
        <w:rPr>
          <w:color w:val="424242"/>
          <w:spacing w:val="-2"/>
          <w:w w:val="105"/>
          <w:sz w:val="16"/>
        </w:rPr>
        <w:t>methodology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382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Graduate-level instruction and dissertation supervision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328" w:lineRule="exact" w:before="44" w:after="0"/>
        <w:ind w:left="466" w:right="0" w:hanging="296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Grant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writing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w w:val="105"/>
          <w:sz w:val="16"/>
        </w:rPr>
        <w:t>(NEH,</w:t>
      </w:r>
      <w:r>
        <w:rPr>
          <w:color w:val="424242"/>
          <w:spacing w:val="5"/>
          <w:w w:val="105"/>
          <w:sz w:val="16"/>
        </w:rPr>
        <w:t> </w:t>
      </w:r>
      <w:r>
        <w:rPr>
          <w:color w:val="424242"/>
          <w:w w:val="105"/>
          <w:sz w:val="16"/>
        </w:rPr>
        <w:t>ACLS,</w:t>
      </w:r>
      <w:r>
        <w:rPr>
          <w:color w:val="424242"/>
          <w:spacing w:val="15"/>
          <w:w w:val="105"/>
          <w:sz w:val="16"/>
        </w:rPr>
        <w:t> </w:t>
      </w:r>
      <w:r>
        <w:rPr>
          <w:color w:val="424242"/>
          <w:spacing w:val="-2"/>
          <w:w w:val="105"/>
          <w:sz w:val="16"/>
        </w:rPr>
        <w:t>Mellon)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27" w:after="0"/>
        <w:ind w:left="467" w:right="379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Academic publishing and peer </w:t>
      </w:r>
      <w:r>
        <w:rPr>
          <w:color w:val="424242"/>
          <w:spacing w:val="-2"/>
          <w:w w:val="105"/>
          <w:sz w:val="16"/>
        </w:rPr>
        <w:t>review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9" w:lineRule="auto" w:before="100" w:after="0"/>
        <w:ind w:left="467" w:right="382" w:hanging="298"/>
        <w:jc w:val="left"/>
        <w:rPr>
          <w:color w:val="424242"/>
          <w:position w:val="-4"/>
          <w:sz w:val="31"/>
        </w:rPr>
      </w:pPr>
      <w:r>
        <w:rPr>
          <w:color w:val="424242"/>
          <w:w w:val="105"/>
          <w:sz w:val="16"/>
        </w:rPr>
        <w:t>Digital humanities and archive </w:t>
      </w:r>
      <w:r>
        <w:rPr>
          <w:color w:val="424242"/>
          <w:spacing w:val="-2"/>
          <w:w w:val="105"/>
          <w:sz w:val="16"/>
        </w:rPr>
        <w:t>digitization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8" w:after="0"/>
        <w:ind w:left="467" w:right="274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Curriculum design and program </w:t>
      </w:r>
      <w:r>
        <w:rPr>
          <w:color w:val="424242"/>
          <w:spacing w:val="-2"/>
          <w:w w:val="105"/>
          <w:sz w:val="16"/>
        </w:rPr>
        <w:t>assessment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56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Labor history and 20th-century US </w:t>
      </w:r>
      <w:r>
        <w:rPr>
          <w:color w:val="424242"/>
          <w:spacing w:val="-2"/>
          <w:w w:val="105"/>
          <w:sz w:val="16"/>
        </w:rPr>
        <w:t>historiography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475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Conference organization and invited lecturing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99" w:after="0"/>
        <w:ind w:left="467" w:right="373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Departmental governance and committee leadership</w:t>
      </w:r>
    </w:p>
    <w:p>
      <w:pPr>
        <w:pStyle w:val="ListParagraph"/>
        <w:numPr>
          <w:ilvl w:val="0"/>
          <w:numId w:val="1"/>
        </w:numPr>
        <w:tabs>
          <w:tab w:pos="465" w:val="left" w:leader="none"/>
          <w:tab w:pos="467" w:val="left" w:leader="none"/>
        </w:tabs>
        <w:spacing w:line="182" w:lineRule="auto" w:before="100" w:after="0"/>
        <w:ind w:left="467" w:right="118" w:hanging="298"/>
        <w:jc w:val="left"/>
        <w:rPr>
          <w:color w:val="424242"/>
          <w:position w:val="-5"/>
          <w:sz w:val="31"/>
        </w:rPr>
      </w:pPr>
      <w:r>
        <w:rPr>
          <w:color w:val="424242"/>
          <w:w w:val="105"/>
          <w:sz w:val="16"/>
        </w:rPr>
        <w:t>Public humanities and community </w:t>
      </w:r>
      <w:r>
        <w:rPr>
          <w:color w:val="424242"/>
          <w:spacing w:val="-2"/>
          <w:w w:val="105"/>
          <w:sz w:val="16"/>
        </w:rPr>
        <w:t>partnerships</w:t>
      </w:r>
    </w:p>
    <w:p>
      <w:pPr>
        <w:pStyle w:val="ListParagraph"/>
        <w:numPr>
          <w:ilvl w:val="0"/>
          <w:numId w:val="1"/>
        </w:numPr>
        <w:tabs>
          <w:tab w:pos="466" w:val="left" w:leader="none"/>
        </w:tabs>
        <w:spacing w:line="240" w:lineRule="auto" w:before="100" w:after="0"/>
        <w:ind w:left="466" w:right="0" w:hanging="296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Earned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ACLS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fellowship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for</w:t>
      </w:r>
      <w:r>
        <w:rPr>
          <w:spacing w:val="16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2017-2018</w:t>
      </w:r>
      <w:r>
        <w:rPr>
          <w:spacing w:val="15"/>
          <w:w w:val="105"/>
          <w:sz w:val="18"/>
        </w:rPr>
        <w:t> </w:t>
      </w:r>
      <w:r>
        <w:rPr>
          <w:w w:val="105"/>
          <w:sz w:val="18"/>
        </w:rPr>
        <w:t>academic</w:t>
      </w:r>
      <w:r>
        <w:rPr>
          <w:spacing w:val="16"/>
          <w:w w:val="105"/>
          <w:sz w:val="18"/>
        </w:rPr>
        <w:t> </w:t>
      </w:r>
      <w:r>
        <w:rPr>
          <w:spacing w:val="-4"/>
          <w:w w:val="105"/>
          <w:sz w:val="18"/>
        </w:rPr>
        <w:t>year</w:t>
      </w:r>
    </w:p>
    <w:sectPr>
      <w:type w:val="continuous"/>
      <w:pgSz w:w="11920" w:h="16860"/>
      <w:pgMar w:top="820" w:bottom="280" w:left="425" w:right="425"/>
      <w:cols w:num="2" w:equalWidth="0">
        <w:col w:w="3182" w:space="817"/>
        <w:col w:w="70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523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41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0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2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22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48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43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04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58"/>
      <w:outlineLvl w:val="1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48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9"/>
      <w:ind w:left="467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.lindgren@email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2026-07-06T08:34:33Z</dcterms:created>
  <dcterms:modified xsi:type="dcterms:W3CDTF">2026-07-06T08:34:33Z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2026-07-06T00:00:00Z</vt:filetime>
  </property>
  <property fmtid="{D5CDD505-2E9C-101B-9397-08002B2CF9AE}" pid="5" name="Producer">
    <vt:lpwstr>Skia/PDF m121</vt:lpwstr>
  </property>
</Properties>
</file>