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  <w:sz w:val="89"/>
        </w:rPr>
      </w:pPr>
    </w:p>
    <w:p>
      <w:pPr>
        <w:spacing w:before="0"/>
        <w:ind w:left="4159" w:right="18" w:firstLine="0"/>
        <w:jc w:val="center"/>
        <w:rPr>
          <w:sz w:val="89"/>
        </w:rPr>
      </w:pPr>
      <w:r>
        <w:rPr>
          <w:b/>
          <w:color w:val="FFFFFF"/>
          <w:spacing w:val="13"/>
          <w:sz w:val="89"/>
        </w:rPr>
        <w:t>BRIAN</w:t>
      </w:r>
      <w:r>
        <w:rPr>
          <w:b/>
          <w:color w:val="FFFFFF"/>
          <w:spacing w:val="39"/>
          <w:sz w:val="89"/>
        </w:rPr>
        <w:t> </w:t>
      </w:r>
      <w:r>
        <w:rPr>
          <w:color w:val="FFFFFF"/>
          <w:spacing w:val="9"/>
          <w:sz w:val="89"/>
        </w:rPr>
        <w:t>SCOTT</w:t>
      </w:r>
    </w:p>
    <w:p>
      <w:pPr>
        <w:spacing w:before="194"/>
        <w:ind w:left="4159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Management</w:t>
      </w:r>
      <w:r>
        <w:rPr>
          <w:b/>
          <w:color w:val="FFFFFF"/>
          <w:spacing w:val="16"/>
          <w:sz w:val="20"/>
        </w:rPr>
        <w:t> </w:t>
      </w:r>
      <w:r>
        <w:rPr>
          <w:b/>
          <w:color w:val="FFFFFF"/>
          <w:spacing w:val="-2"/>
          <w:sz w:val="20"/>
        </w:rPr>
        <w:t>Consultant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7164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2447924</wp:posOffset>
                </wp:positionH>
                <wp:positionV relativeFrom="paragraph">
                  <wp:posOffset>81058</wp:posOffset>
                </wp:positionV>
                <wp:extent cx="9525" cy="8505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25" cy="8505825"/>
                          <a:chExt cx="9525" cy="8505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000999"/>
                            <a:ext cx="952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04825">
                                <a:moveTo>
                                  <a:pt x="0" y="504825"/>
                                </a:moveTo>
                                <a:lnTo>
                                  <a:pt x="9524" y="50482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525" cy="800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01000">
                                <a:moveTo>
                                  <a:pt x="9524" y="8000999"/>
                                </a:moveTo>
                                <a:lnTo>
                                  <a:pt x="0" y="80009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00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6.382584pt;width:.75pt;height:669.75pt;mso-position-horizontal-relative:page;mso-position-vertical-relative:paragraph;z-index:-15796736" id="docshapegroup1" coordorigin="3855,128" coordsize="15,13395">
                <v:rect style="position:absolute;left:3855;top:12727;width:15;height:795" id="docshape2" filled="true" fillcolor="#1f1f1f" stroked="false">
                  <v:fill opacity="15420f" type="solid"/>
                </v:rect>
                <v:rect style="position:absolute;left:3855;top:127;width:15;height:12600" id="docshape3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425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27"/>
        <w:rPr>
          <w:b/>
          <w:sz w:val="20"/>
        </w:rPr>
      </w:pPr>
    </w:p>
    <w:p>
      <w:pPr>
        <w:pStyle w:val="BodyText"/>
        <w:tabs>
          <w:tab w:pos="957" w:val="left" w:leader="none"/>
        </w:tabs>
        <w:ind w:left="39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(612)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0163</w:t>
      </w:r>
    </w:p>
    <w:p>
      <w:pPr>
        <w:pStyle w:val="BodyText"/>
        <w:spacing w:line="295" w:lineRule="auto" w:before="100"/>
        <w:ind w:left="957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356155</wp:posOffset>
            </wp:positionH>
            <wp:positionV relativeFrom="paragraph">
              <wp:posOffset>123588</wp:posOffset>
            </wp:positionV>
            <wp:extent cx="174258" cy="20067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2"/>
        </w:rPr>
        <w:t>marcus.bellweather@exampl </w:t>
      </w:r>
      <w:r>
        <w:rPr>
          <w:color w:val="1F1F1F"/>
          <w:spacing w:val="-2"/>
          <w:w w:val="105"/>
        </w:rPr>
        <w:t>e.com</w:t>
      </w:r>
    </w:p>
    <w:p>
      <w:pPr>
        <w:pStyle w:val="BodyText"/>
        <w:tabs>
          <w:tab w:pos="957" w:val="left" w:leader="none"/>
        </w:tabs>
        <w:spacing w:before="95"/>
        <w:ind w:left="400"/>
      </w:pPr>
      <w:r>
        <w:rPr>
          <w:position w:val="-11"/>
        </w:rPr>
        <w:drawing>
          <wp:inline distT="0" distB="0" distL="0" distR="0">
            <wp:extent cx="199480" cy="20076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  <w:spacing w:val="-2"/>
          <w:w w:val="105"/>
        </w:rPr>
        <w:t>Minneapolis, MN</w:t>
      </w:r>
      <w:r>
        <w:rPr>
          <w:color w:val="1F1F1F"/>
          <w:spacing w:val="-1"/>
          <w:w w:val="105"/>
        </w:rPr>
        <w:t> </w:t>
      </w:r>
      <w:r>
        <w:rPr>
          <w:color w:val="1F1F1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27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209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Operations</w:t>
      </w:r>
      <w:r>
        <w:rPr>
          <w:color w:val="1F1F1F"/>
          <w:spacing w:val="1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redesign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Commercial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diligence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Client relationship management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Team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leadership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(3-5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people)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53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Follow-on selling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and scoping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Synergy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w w:val="105"/>
          <w:sz w:val="18"/>
        </w:rPr>
        <w:t>savings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modeling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Workshop</w:t>
      </w:r>
      <w:r>
        <w:rPr>
          <w:color w:val="1F1F1F"/>
          <w:spacing w:val="15"/>
          <w:sz w:val="18"/>
        </w:rPr>
        <w:t> </w:t>
      </w:r>
      <w:r>
        <w:rPr>
          <w:color w:val="1F1F1F"/>
          <w:spacing w:val="-2"/>
          <w:sz w:val="18"/>
        </w:rPr>
        <w:t>facilitation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95" w:lineRule="auto" w:before="138" w:after="0"/>
        <w:ind w:left="696" w:right="38" w:hanging="298"/>
        <w:jc w:val="left"/>
        <w:rPr>
          <w:sz w:val="18"/>
        </w:rPr>
      </w:pPr>
      <w:r>
        <w:rPr>
          <w:color w:val="1F1F1F"/>
          <w:w w:val="105"/>
          <w:sz w:val="18"/>
        </w:rPr>
        <w:t>Insurance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ﬁnancial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services </w:t>
      </w:r>
      <w:r>
        <w:rPr>
          <w:color w:val="1F1F1F"/>
          <w:spacing w:val="-2"/>
          <w:w w:val="105"/>
          <w:sz w:val="18"/>
        </w:rPr>
        <w:t>domain</w:t>
      </w:r>
    </w:p>
    <w:p>
      <w:pPr>
        <w:spacing w:line="297" w:lineRule="auto" w:before="70"/>
        <w:ind w:left="271" w:right="57" w:hanging="1"/>
        <w:jc w:val="both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Senior consultant with 6 years across financial services and insurance. Run engagement teams of 3-5, manage the client relationship day-to-day below the partner, and drive findings from hypothesis to implementation roadmap.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2619374</wp:posOffset>
                </wp:positionH>
                <wp:positionV relativeFrom="paragraph">
                  <wp:posOffset>128373</wp:posOffset>
                </wp:positionV>
                <wp:extent cx="462915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29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150" h="9525">
                              <a:moveTo>
                                <a:pt x="4629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29149" y="0"/>
                              </a:lnTo>
                              <a:lnTo>
                                <a:pt x="4629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>
                            <a:alpha val="360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6.249985pt;margin-top:10.108164pt;width:364.499971pt;height:.75pt;mso-position-horizontal-relative:page;mso-position-vertical-relative:paragraph;z-index:-15728640;mso-wrap-distance-left:0;mso-wrap-distance-right:0" id="docshape4" filled="true" fillcolor="#1f1f1f" stroked="false">
                <v:fill opacity="23645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8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Senior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Consultant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Halberd</w:t>
      </w:r>
      <w:r>
        <w:rPr>
          <w:spacing w:val="10"/>
          <w:sz w:val="20"/>
        </w:rPr>
        <w:t> </w:t>
      </w:r>
      <w:r>
        <w:rPr>
          <w:sz w:val="20"/>
        </w:rPr>
        <w:t>&amp;</w:t>
      </w:r>
      <w:r>
        <w:rPr>
          <w:spacing w:val="11"/>
          <w:sz w:val="20"/>
        </w:rPr>
        <w:t> </w:t>
      </w:r>
      <w:r>
        <w:rPr>
          <w:sz w:val="20"/>
        </w:rPr>
        <w:t>Quinn</w:t>
      </w:r>
      <w:r>
        <w:rPr>
          <w:spacing w:val="10"/>
          <w:sz w:val="20"/>
        </w:rPr>
        <w:t> </w:t>
      </w:r>
      <w:r>
        <w:rPr>
          <w:sz w:val="20"/>
        </w:rPr>
        <w:t>Consulting,</w:t>
      </w:r>
      <w:r>
        <w:rPr>
          <w:spacing w:val="11"/>
          <w:sz w:val="20"/>
        </w:rPr>
        <w:t> </w:t>
      </w:r>
      <w:r>
        <w:rPr>
          <w:sz w:val="20"/>
        </w:rPr>
        <w:t>Minneapolis,</w:t>
      </w:r>
      <w:r>
        <w:rPr>
          <w:spacing w:val="10"/>
          <w:sz w:val="20"/>
        </w:rPr>
        <w:t> </w:t>
      </w:r>
      <w:r>
        <w:rPr>
          <w:sz w:val="20"/>
        </w:rPr>
        <w:t>MN</w:t>
      </w:r>
      <w:r>
        <w:rPr>
          <w:spacing w:val="11"/>
          <w:sz w:val="20"/>
        </w:rPr>
        <w:t> </w:t>
      </w:r>
      <w:r>
        <w:rPr>
          <w:sz w:val="20"/>
        </w:rPr>
        <w:t>|</w:t>
      </w:r>
      <w:r>
        <w:rPr>
          <w:spacing w:val="10"/>
          <w:sz w:val="20"/>
        </w:rPr>
        <w:t> </w:t>
      </w:r>
      <w:r>
        <w:rPr>
          <w:sz w:val="20"/>
        </w:rPr>
        <w:t>2021</w:t>
      </w:r>
      <w:r>
        <w:rPr>
          <w:spacing w:val="11"/>
          <w:sz w:val="20"/>
        </w:rPr>
        <w:t> </w:t>
      </w:r>
      <w:r>
        <w:rPr>
          <w:sz w:val="20"/>
        </w:rPr>
        <w:t>-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tabs>
          <w:tab w:pos="975" w:val="left" w:leader="none"/>
        </w:tabs>
        <w:spacing w:line="295" w:lineRule="auto" w:before="149"/>
        <w:ind w:left="975" w:right="381" w:hanging="302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Led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core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operations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redesign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regional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P&amp;C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insurer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took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claims cycle time from 11.4 days to 6.8 days over 14 months.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491" w:hanging="302"/>
      </w:pPr>
      <w:r>
        <w:rPr/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Day-to-day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owner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client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relationship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COO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three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direct reports during a 9-month engagement.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68" w:hanging="302"/>
      </w:pPr>
      <w:r>
        <w:rPr/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Managed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4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consultants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analysts;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two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were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promoted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off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this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engagement on the strength of evaluations I drafted.</w:t>
      </w:r>
    </w:p>
    <w:p>
      <w:pPr>
        <w:pStyle w:val="BodyText"/>
        <w:tabs>
          <w:tab w:pos="975" w:val="left" w:leader="none"/>
        </w:tabs>
        <w:spacing w:line="295" w:lineRule="auto" w:before="90"/>
        <w:ind w:left="975" w:right="255" w:hanging="302"/>
      </w:pPr>
      <w:r>
        <w:rPr/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Sold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$1.85M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follow-on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workstream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underwriting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modernization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the </w:t>
      </w:r>
      <w:r>
        <w:rPr>
          <w:color w:val="1F1F1F"/>
          <w:spacing w:val="-2"/>
          <w:w w:val="105"/>
        </w:rPr>
        <w:t>partner.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292" w:hanging="302"/>
      </w:pPr>
      <w:r>
        <w:rPr/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Built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reusable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claims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process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diagnostic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practice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now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markets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to mid-market insurance clients.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Consultant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Halberd</w:t>
      </w:r>
      <w:r>
        <w:rPr>
          <w:spacing w:val="10"/>
          <w:sz w:val="20"/>
        </w:rPr>
        <w:t> </w:t>
      </w:r>
      <w:r>
        <w:rPr>
          <w:sz w:val="20"/>
        </w:rPr>
        <w:t>&amp;</w:t>
      </w:r>
      <w:r>
        <w:rPr>
          <w:spacing w:val="11"/>
          <w:sz w:val="20"/>
        </w:rPr>
        <w:t> </w:t>
      </w:r>
      <w:r>
        <w:rPr>
          <w:sz w:val="20"/>
        </w:rPr>
        <w:t>Quinn</w:t>
      </w:r>
      <w:r>
        <w:rPr>
          <w:spacing w:val="10"/>
          <w:sz w:val="20"/>
        </w:rPr>
        <w:t> </w:t>
      </w:r>
      <w:r>
        <w:rPr>
          <w:sz w:val="20"/>
        </w:rPr>
        <w:t>Consulting,</w:t>
      </w:r>
      <w:r>
        <w:rPr>
          <w:spacing w:val="11"/>
          <w:sz w:val="20"/>
        </w:rPr>
        <w:t> </w:t>
      </w:r>
      <w:r>
        <w:rPr>
          <w:sz w:val="20"/>
        </w:rPr>
        <w:t>Minneapolis,</w:t>
      </w:r>
      <w:r>
        <w:rPr>
          <w:spacing w:val="10"/>
          <w:sz w:val="20"/>
        </w:rPr>
        <w:t> </w:t>
      </w:r>
      <w:r>
        <w:rPr>
          <w:sz w:val="20"/>
        </w:rPr>
        <w:t>MN</w:t>
      </w:r>
      <w:r>
        <w:rPr>
          <w:spacing w:val="11"/>
          <w:sz w:val="20"/>
        </w:rPr>
        <w:t> </w:t>
      </w:r>
      <w:r>
        <w:rPr>
          <w:sz w:val="20"/>
        </w:rPr>
        <w:t>|</w:t>
      </w:r>
      <w:r>
        <w:rPr>
          <w:spacing w:val="10"/>
          <w:sz w:val="20"/>
        </w:rPr>
        <w:t> </w:t>
      </w:r>
      <w:r>
        <w:rPr>
          <w:sz w:val="20"/>
        </w:rPr>
        <w:t>2019</w:t>
      </w:r>
      <w:r>
        <w:rPr>
          <w:spacing w:val="11"/>
          <w:sz w:val="20"/>
        </w:rPr>
        <w:t> </w:t>
      </w:r>
      <w:r>
        <w:rPr>
          <w:sz w:val="20"/>
        </w:rPr>
        <w:t>-</w:t>
      </w:r>
      <w:r>
        <w:rPr>
          <w:spacing w:val="11"/>
          <w:sz w:val="20"/>
        </w:rPr>
        <w:t> </w:t>
      </w:r>
      <w:r>
        <w:rPr>
          <w:spacing w:val="-4"/>
          <w:sz w:val="20"/>
        </w:rPr>
        <w:t>2021</w:t>
      </w:r>
    </w:p>
    <w:p>
      <w:pPr>
        <w:pStyle w:val="BodyText"/>
        <w:tabs>
          <w:tab w:pos="975" w:val="left" w:leader="none"/>
        </w:tabs>
        <w:spacing w:line="295" w:lineRule="auto" w:before="134"/>
        <w:ind w:left="975" w:right="292" w:hanging="302"/>
      </w:pPr>
      <w:r>
        <w:rPr/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color w:val="1F1F1F"/>
          <w:w w:val="105"/>
        </w:rPr>
        <w:t>Owned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commercial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diligence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workstreams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5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private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equity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deals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across ﬁntech and insurance.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182" w:hanging="302"/>
      </w:pPr>
      <w:r>
        <w:rPr/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color w:val="1F1F1F"/>
          <w:w w:val="105"/>
        </w:rPr>
        <w:t>Built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synergy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model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credit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union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merger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partner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used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the ﬁnal client recommendation.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454" w:hanging="302"/>
      </w:pPr>
      <w:r>
        <w:rPr/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Promoted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senior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consultant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standard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timeline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top-quartile </w:t>
      </w:r>
      <w:r>
        <w:rPr>
          <w:color w:val="1F1F1F"/>
          <w:spacing w:val="-2"/>
          <w:w w:val="105"/>
        </w:rPr>
        <w:t>review.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0" w:bottom="0" w:left="141" w:right="425"/>
          <w:cols w:num="2" w:equalWidth="0">
            <w:col w:w="3423" w:space="427"/>
            <w:col w:w="7504"/>
          </w:cols>
        </w:sectPr>
      </w:pPr>
    </w:p>
    <w:p>
      <w:pPr>
        <w:spacing w:before="177"/>
        <w:ind w:left="39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797248" id="docshape5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240982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687945" cy="2409825"/>
                          <a:chExt cx="7687945" cy="24098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507709" y="380999"/>
                            <a:ext cx="9525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52575">
                                <a:moveTo>
                                  <a:pt x="0" y="1552575"/>
                                </a:moveTo>
                                <a:lnTo>
                                  <a:pt x="9524" y="155257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2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8924"/>
                            <a:ext cx="2124074" cy="2120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189.75pt;mso-position-horizontal-relative:page;mso-position-vertical-relative:page;z-index:-15796224" id="docshapegroup6" coordorigin="-94,0" coordsize="12107,3795">
                <v:rect style="position:absolute;left:3855;top:600;width:15;height:2445" id="docshape7" filled="true" fillcolor="#1f1f1f" stroked="false">
                  <v:fill opacity="15420f" type="solid"/>
                </v:rect>
                <v:rect style="position:absolute;left:0;top:0;width:11919;height:3045" id="docshape8" filled="true" fillcolor="#073762" stroked="false">
                  <v:fill opacity="32899f" type="solid"/>
                </v:rect>
                <v:shape style="position:absolute;left:0;top:274;width:11919;height:2726" id="docshape9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10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390;top:455;width:3345;height:3340" type="#_x0000_t75" id="docshape11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1F1F1F"/>
          <w:sz w:val="20"/>
        </w:rPr>
        <w:t>Strategy</w:t>
      </w:r>
      <w:r>
        <w:rPr>
          <w:color w:val="1F1F1F"/>
          <w:spacing w:val="-4"/>
          <w:sz w:val="20"/>
        </w:rPr>
        <w:t> </w:t>
      </w:r>
      <w:r>
        <w:rPr>
          <w:color w:val="1F1F1F"/>
          <w:spacing w:val="-2"/>
          <w:sz w:val="20"/>
        </w:rPr>
        <w:t>Associate</w:t>
      </w:r>
    </w:p>
    <w:p>
      <w:pPr>
        <w:spacing w:before="130"/>
        <w:ind w:left="3989" w:right="0" w:firstLine="0"/>
        <w:jc w:val="left"/>
        <w:rPr>
          <w:sz w:val="20"/>
        </w:rPr>
      </w:pPr>
      <w:r>
        <w:rPr>
          <w:sz w:val="20"/>
        </w:rPr>
        <w:t>Midwest</w:t>
      </w:r>
      <w:r>
        <w:rPr>
          <w:spacing w:val="7"/>
          <w:sz w:val="20"/>
        </w:rPr>
        <w:t> </w:t>
      </w:r>
      <w:r>
        <w:rPr>
          <w:sz w:val="20"/>
        </w:rPr>
        <w:t>Mutual</w:t>
      </w:r>
      <w:r>
        <w:rPr>
          <w:spacing w:val="8"/>
          <w:sz w:val="20"/>
        </w:rPr>
        <w:t> </w:t>
      </w:r>
      <w:r>
        <w:rPr>
          <w:sz w:val="20"/>
        </w:rPr>
        <w:t>Holdings</w:t>
      </w:r>
      <w:r>
        <w:rPr>
          <w:spacing w:val="8"/>
          <w:sz w:val="20"/>
        </w:rPr>
        <w:t> </w:t>
      </w:r>
      <w:r>
        <w:rPr>
          <w:sz w:val="20"/>
        </w:rPr>
        <w:t>(internal</w:t>
      </w:r>
      <w:r>
        <w:rPr>
          <w:spacing w:val="8"/>
          <w:sz w:val="20"/>
        </w:rPr>
        <w:t> </w:t>
      </w:r>
      <w:r>
        <w:rPr>
          <w:sz w:val="20"/>
        </w:rPr>
        <w:t>strategy),</w:t>
      </w:r>
      <w:r>
        <w:rPr>
          <w:spacing w:val="8"/>
          <w:sz w:val="20"/>
        </w:rPr>
        <w:t> </w:t>
      </w:r>
      <w:r>
        <w:rPr>
          <w:sz w:val="20"/>
        </w:rPr>
        <w:t>St.</w:t>
      </w:r>
      <w:r>
        <w:rPr>
          <w:spacing w:val="8"/>
          <w:sz w:val="20"/>
        </w:rPr>
        <w:t> </w:t>
      </w:r>
      <w:r>
        <w:rPr>
          <w:sz w:val="20"/>
        </w:rPr>
        <w:t>Paul,</w:t>
      </w:r>
      <w:r>
        <w:rPr>
          <w:spacing w:val="8"/>
          <w:sz w:val="20"/>
        </w:rPr>
        <w:t> </w:t>
      </w:r>
      <w:r>
        <w:rPr>
          <w:sz w:val="20"/>
        </w:rPr>
        <w:t>MN</w:t>
      </w:r>
      <w:r>
        <w:rPr>
          <w:spacing w:val="8"/>
          <w:sz w:val="20"/>
        </w:rPr>
        <w:t> </w:t>
      </w:r>
      <w:r>
        <w:rPr>
          <w:sz w:val="20"/>
        </w:rPr>
        <w:t>|</w:t>
      </w:r>
      <w:r>
        <w:rPr>
          <w:spacing w:val="8"/>
          <w:sz w:val="20"/>
        </w:rPr>
        <w:t> </w:t>
      </w:r>
      <w:r>
        <w:rPr>
          <w:sz w:val="20"/>
        </w:rPr>
        <w:t>2017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2019</w:t>
      </w:r>
    </w:p>
    <w:p>
      <w:pPr>
        <w:pStyle w:val="ListParagraph"/>
        <w:numPr>
          <w:ilvl w:val="1"/>
          <w:numId w:val="1"/>
        </w:numPr>
        <w:tabs>
          <w:tab w:pos="4825" w:val="left" w:leader="none"/>
        </w:tabs>
        <w:spacing w:line="295" w:lineRule="auto" w:before="134" w:after="0"/>
        <w:ind w:left="4825" w:right="261" w:hanging="302"/>
        <w:jc w:val="left"/>
        <w:rPr>
          <w:sz w:val="18"/>
        </w:rPr>
      </w:pPr>
      <w:r>
        <w:rPr>
          <w:color w:val="1F1F1F"/>
          <w:w w:val="105"/>
          <w:sz w:val="18"/>
        </w:rPr>
        <w:t>Supported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corporate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strategy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team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annual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planning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competitive </w:t>
      </w:r>
      <w:r>
        <w:rPr>
          <w:color w:val="1F1F1F"/>
          <w:spacing w:val="-2"/>
          <w:w w:val="105"/>
          <w:sz w:val="18"/>
        </w:rPr>
        <w:t>intelligence.</w:t>
      </w:r>
    </w:p>
    <w:p>
      <w:pPr>
        <w:pStyle w:val="ListParagraph"/>
        <w:numPr>
          <w:ilvl w:val="1"/>
          <w:numId w:val="1"/>
        </w:numPr>
        <w:tabs>
          <w:tab w:pos="4825" w:val="left" w:leader="none"/>
        </w:tabs>
        <w:spacing w:line="240" w:lineRule="auto" w:before="90" w:after="0"/>
        <w:ind w:left="482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Built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agency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channel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proﬁtability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model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still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used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quarterly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reviews.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3989" w:right="0" w:firstLine="0"/>
        <w:jc w:val="left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line="470" w:lineRule="auto" w:before="205"/>
        <w:ind w:left="3989" w:right="893" w:firstLine="0"/>
        <w:jc w:val="left"/>
        <w:rPr>
          <w:sz w:val="20"/>
        </w:rPr>
      </w:pPr>
      <w:r>
        <w:rPr>
          <w:color w:val="1F1F1F"/>
          <w:sz w:val="20"/>
        </w:rPr>
        <w:t>MBA, Carlson School of Management (University of Minnesota), 2019 BS, Finance, Marquette University, 2015</w:t>
      </w:r>
    </w:p>
    <w:sectPr>
      <w:type w:val="continuous"/>
      <w:pgSz w:w="11920" w:h="16860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numPicBullet w:numPicBulletId="1">
    <w:pict>
      <v:shape id="_x0000_i1076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96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482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64" w:hanging="3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09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4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99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3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88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33" w:hanging="3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8"/>
      <w:ind w:left="69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5.png"/><Relationship Id="rId9" Type="http://schemas.openxmlformats.org/officeDocument/2006/relationships/image" Target="media/image4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2026-07-17T18:01:55Z</dcterms:created>
  <dcterms:modified xsi:type="dcterms:W3CDTF">2026-07-17T18:01:55Z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