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4799" w:right="0" w:firstLine="0"/>
        <w:jc w:val="left"/>
        <w:rPr>
          <w:sz w:val="74"/>
        </w:rPr>
      </w:pPr>
      <w:r>
        <w:rPr>
          <w:b/>
          <w:color w:val="134E5C"/>
          <w:spacing w:val="-13"/>
          <w:sz w:val="74"/>
        </w:rPr>
        <w:t>PRIYA</w:t>
      </w:r>
      <w:r>
        <w:rPr>
          <w:b/>
          <w:color w:val="134E5C"/>
          <w:spacing w:val="-34"/>
          <w:sz w:val="74"/>
        </w:rPr>
        <w:t> </w:t>
      </w:r>
      <w:r>
        <w:rPr>
          <w:color w:val="134E5C"/>
          <w:spacing w:val="-2"/>
          <w:sz w:val="74"/>
        </w:rPr>
        <w:t>NADKARNI</w:t>
      </w:r>
    </w:p>
    <w:p>
      <w:pPr>
        <w:pStyle w:val="Heading2"/>
      </w:pPr>
      <w:r>
        <w:rPr/>
        <w:t>Finance</w:t>
      </w:r>
      <w:r>
        <w:rPr>
          <w:spacing w:val="1"/>
        </w:rPr>
        <w:t> </w:t>
      </w:r>
      <w:r>
        <w:rPr>
          <w:spacing w:val="-2"/>
        </w:rPr>
        <w:t>Manager</w:t>
      </w:r>
    </w:p>
    <w:p>
      <w:pPr>
        <w:pStyle w:val="BodyText"/>
        <w:spacing w:line="261" w:lineRule="auto" w:before="234"/>
        <w:ind w:left="4800" w:right="878"/>
        <w:jc w:val="center"/>
      </w:pPr>
      <w:r>
        <w:rPr>
          <w:w w:val="105"/>
        </w:rPr>
        <w:t>Senior ﬁnance manager with ten years across enterprise software and ﬁntech. Leads a team of four covering FP&amp;A, pricing, and corporate development</w:t>
      </w:r>
      <w:r>
        <w:rPr>
          <w:spacing w:val="-14"/>
          <w:w w:val="105"/>
        </w:rPr>
        <w:t> </w:t>
      </w:r>
      <w:r>
        <w:rPr>
          <w:w w:val="105"/>
        </w:rPr>
        <w:t>support.</w:t>
      </w:r>
      <w:r>
        <w:rPr>
          <w:spacing w:val="-13"/>
          <w:w w:val="105"/>
        </w:rPr>
        <w:t> </w:t>
      </w:r>
      <w:r>
        <w:rPr>
          <w:w w:val="105"/>
        </w:rPr>
        <w:t>Known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clean</w:t>
      </w:r>
      <w:r>
        <w:rPr>
          <w:spacing w:val="-13"/>
          <w:w w:val="105"/>
        </w:rPr>
        <w:t> </w:t>
      </w:r>
      <w:r>
        <w:rPr>
          <w:w w:val="105"/>
        </w:rPr>
        <w:t>board</w:t>
      </w:r>
      <w:r>
        <w:rPr>
          <w:spacing w:val="-13"/>
          <w:w w:val="105"/>
        </w:rPr>
        <w:t> </w:t>
      </w:r>
      <w:r>
        <w:rPr>
          <w:w w:val="105"/>
        </w:rPr>
        <w:t>narratives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forecasts</w:t>
      </w:r>
      <w:r>
        <w:rPr>
          <w:spacing w:val="-13"/>
          <w:w w:val="105"/>
        </w:rPr>
        <w:t> </w:t>
      </w:r>
      <w:r>
        <w:rPr>
          <w:w w:val="105"/>
        </w:rPr>
        <w:t>that hold up under audit committee questioning.</w:t>
      </w: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2952749</wp:posOffset>
                </wp:positionH>
                <wp:positionV relativeFrom="paragraph">
                  <wp:posOffset>179160</wp:posOffset>
                </wp:positionV>
                <wp:extent cx="4615815" cy="28575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32.499969pt;margin-top:14.107112pt;width:363.45pt;height:22.5pt;mso-position-horizontal-relative:page;mso-position-vertical-relative:paragraph;z-index:-15728640;mso-wrap-distance-left:0;mso-wrap-distance-right:0" type="#_x0000_t202" id="docshape1" filled="true" fillcolor="#134e5c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228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line="261" w:lineRule="auto" w:before="74"/>
        <w:ind w:left="139" w:right="1627"/>
      </w:pPr>
      <w:r>
        <w:rPr/>
        <w:br w:type="column"/>
      </w:r>
      <w:r>
        <w:rPr>
          <w:spacing w:val="-2"/>
          <w:w w:val="105"/>
        </w:rPr>
        <w:t>Senior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Finance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Manager,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Corporate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FP&amp;A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2020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Present </w:t>
      </w:r>
      <w:r>
        <w:rPr>
          <w:w w:val="105"/>
        </w:rPr>
        <w:t>Kestrel Vantage Software, Salt Lake City, UT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066" w:space="1565"/>
            <w:col w:w="714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150"/>
        <w:ind w:left="10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800350" cy="10706100"/>
                          <a:chExt cx="2800350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003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6100">
                                <a:moveTo>
                                  <a:pt x="28003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23874" y="571499"/>
                            <a:ext cx="1752600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028825">
                                <a:moveTo>
                                  <a:pt x="1752599" y="2028824"/>
                                </a:moveTo>
                                <a:lnTo>
                                  <a:pt x="0" y="2028824"/>
                                </a:lnTo>
                                <a:lnTo>
                                  <a:pt x="0" y="0"/>
                                </a:lnTo>
                                <a:lnTo>
                                  <a:pt x="1752599" y="0"/>
                                </a:lnTo>
                                <a:lnTo>
                                  <a:pt x="1752599" y="2028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42924" y="590549"/>
                            <a:ext cx="1714500" cy="199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1990725">
                                <a:moveTo>
                                  <a:pt x="0" y="0"/>
                                </a:moveTo>
                                <a:lnTo>
                                  <a:pt x="1714499" y="0"/>
                                </a:lnTo>
                                <a:lnTo>
                                  <a:pt x="1714499" y="1990724"/>
                                </a:lnTo>
                                <a:lnTo>
                                  <a:pt x="0" y="1990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5" y="609600"/>
                            <a:ext cx="16763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34194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5" y="37623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44" y="410527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57187" y="5000624"/>
                            <a:ext cx="47625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886200">
                                <a:moveTo>
                                  <a:pt x="47625" y="3859034"/>
                                </a:moveTo>
                                <a:lnTo>
                                  <a:pt x="27165" y="3838575"/>
                                </a:lnTo>
                                <a:lnTo>
                                  <a:pt x="20472" y="3838575"/>
                                </a:lnTo>
                                <a:lnTo>
                                  <a:pt x="0" y="3859034"/>
                                </a:lnTo>
                                <a:lnTo>
                                  <a:pt x="0" y="3862616"/>
                                </a:lnTo>
                                <a:lnTo>
                                  <a:pt x="0" y="3865740"/>
                                </a:lnTo>
                                <a:lnTo>
                                  <a:pt x="20472" y="3886200"/>
                                </a:lnTo>
                                <a:lnTo>
                                  <a:pt x="27165" y="3886200"/>
                                </a:lnTo>
                                <a:lnTo>
                                  <a:pt x="47625" y="3865740"/>
                                </a:lnTo>
                                <a:lnTo>
                                  <a:pt x="47625" y="3859034"/>
                                </a:lnTo>
                                <a:close/>
                              </a:path>
                              <a:path w="47625" h="3886200">
                                <a:moveTo>
                                  <a:pt x="47625" y="3659022"/>
                                </a:moveTo>
                                <a:lnTo>
                                  <a:pt x="27165" y="3638550"/>
                                </a:lnTo>
                                <a:lnTo>
                                  <a:pt x="20472" y="3638550"/>
                                </a:lnTo>
                                <a:lnTo>
                                  <a:pt x="0" y="3659022"/>
                                </a:lnTo>
                                <a:lnTo>
                                  <a:pt x="0" y="3662591"/>
                                </a:lnTo>
                                <a:lnTo>
                                  <a:pt x="0" y="3665715"/>
                                </a:lnTo>
                                <a:lnTo>
                                  <a:pt x="20472" y="3686175"/>
                                </a:lnTo>
                                <a:lnTo>
                                  <a:pt x="27165" y="3686175"/>
                                </a:lnTo>
                                <a:lnTo>
                                  <a:pt x="47625" y="3665715"/>
                                </a:lnTo>
                                <a:lnTo>
                                  <a:pt x="47625" y="3659022"/>
                                </a:lnTo>
                                <a:close/>
                              </a:path>
                              <a:path w="47625" h="3886200">
                                <a:moveTo>
                                  <a:pt x="47625" y="3458984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84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84"/>
                                </a:lnTo>
                                <a:close/>
                              </a:path>
                              <a:path w="47625" h="3886200">
                                <a:moveTo>
                                  <a:pt x="47625" y="3112147"/>
                                </a:moveTo>
                                <a:lnTo>
                                  <a:pt x="31102" y="3095625"/>
                                </a:lnTo>
                                <a:lnTo>
                                  <a:pt x="16535" y="3095625"/>
                                </a:lnTo>
                                <a:lnTo>
                                  <a:pt x="0" y="3112147"/>
                                </a:lnTo>
                                <a:lnTo>
                                  <a:pt x="0" y="3114675"/>
                                </a:lnTo>
                                <a:lnTo>
                                  <a:pt x="0" y="3117202"/>
                                </a:lnTo>
                                <a:lnTo>
                                  <a:pt x="16535" y="3133725"/>
                                </a:lnTo>
                                <a:lnTo>
                                  <a:pt x="31102" y="3133725"/>
                                </a:lnTo>
                                <a:lnTo>
                                  <a:pt x="47625" y="3117202"/>
                                </a:lnTo>
                                <a:lnTo>
                                  <a:pt x="47625" y="3112147"/>
                                </a:lnTo>
                                <a:close/>
                              </a:path>
                              <a:path w="47625" h="3886200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47625" h="3886200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47625" h="3886200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3886200">
                                <a:moveTo>
                                  <a:pt x="47625" y="2306472"/>
                                </a:moveTo>
                                <a:lnTo>
                                  <a:pt x="27165" y="2286000"/>
                                </a:lnTo>
                                <a:lnTo>
                                  <a:pt x="20472" y="2286000"/>
                                </a:lnTo>
                                <a:lnTo>
                                  <a:pt x="0" y="2306472"/>
                                </a:lnTo>
                                <a:lnTo>
                                  <a:pt x="0" y="2310041"/>
                                </a:lnTo>
                                <a:lnTo>
                                  <a:pt x="0" y="2313165"/>
                                </a:lnTo>
                                <a:lnTo>
                                  <a:pt x="20472" y="2333625"/>
                                </a:lnTo>
                                <a:lnTo>
                                  <a:pt x="27165" y="2333625"/>
                                </a:lnTo>
                                <a:lnTo>
                                  <a:pt x="47625" y="2313165"/>
                                </a:lnTo>
                                <a:lnTo>
                                  <a:pt x="47625" y="2306472"/>
                                </a:lnTo>
                                <a:close/>
                              </a:path>
                              <a:path w="47625" h="3886200">
                                <a:moveTo>
                                  <a:pt x="47625" y="2106447"/>
                                </a:moveTo>
                                <a:lnTo>
                                  <a:pt x="27165" y="2085975"/>
                                </a:lnTo>
                                <a:lnTo>
                                  <a:pt x="20472" y="2085975"/>
                                </a:lnTo>
                                <a:lnTo>
                                  <a:pt x="0" y="2106447"/>
                                </a:lnTo>
                                <a:lnTo>
                                  <a:pt x="0" y="2110016"/>
                                </a:lnTo>
                                <a:lnTo>
                                  <a:pt x="0" y="2113140"/>
                                </a:lnTo>
                                <a:lnTo>
                                  <a:pt x="20472" y="2133600"/>
                                </a:lnTo>
                                <a:lnTo>
                                  <a:pt x="27165" y="2133600"/>
                                </a:lnTo>
                                <a:lnTo>
                                  <a:pt x="47625" y="2113140"/>
                                </a:lnTo>
                                <a:lnTo>
                                  <a:pt x="47625" y="2106447"/>
                                </a:lnTo>
                                <a:close/>
                              </a:path>
                              <a:path w="47625" h="3886200">
                                <a:moveTo>
                                  <a:pt x="47625" y="1896897"/>
                                </a:moveTo>
                                <a:lnTo>
                                  <a:pt x="27165" y="1876425"/>
                                </a:lnTo>
                                <a:lnTo>
                                  <a:pt x="20472" y="1876425"/>
                                </a:lnTo>
                                <a:lnTo>
                                  <a:pt x="0" y="1896897"/>
                                </a:lnTo>
                                <a:lnTo>
                                  <a:pt x="0" y="1900466"/>
                                </a:lnTo>
                                <a:lnTo>
                                  <a:pt x="0" y="1903590"/>
                                </a:lnTo>
                                <a:lnTo>
                                  <a:pt x="20472" y="1924050"/>
                                </a:lnTo>
                                <a:lnTo>
                                  <a:pt x="27165" y="1924050"/>
                                </a:lnTo>
                                <a:lnTo>
                                  <a:pt x="47625" y="1903590"/>
                                </a:lnTo>
                                <a:lnTo>
                                  <a:pt x="47625" y="1896897"/>
                                </a:lnTo>
                                <a:close/>
                              </a:path>
                              <a:path w="47625" h="388620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38862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20.5pt;height:843pt;mso-position-horizontal-relative:page;mso-position-vertical-relative:page;z-index:-15791104" id="docshapegroup2" coordorigin="0,0" coordsize="4410,16860">
                <v:rect style="position:absolute;left:0;top:0;width:4410;height:16860" id="docshape3" filled="true" fillcolor="#134e5c" stroked="false">
                  <v:fill type="solid"/>
                </v:rect>
                <v:rect style="position:absolute;left:825;top:900;width:2760;height:3195" id="docshape4" filled="true" fillcolor="#be9000" stroked="false">
                  <v:fill type="solid"/>
                </v:rect>
                <v:rect style="position:absolute;left:855;top:930;width:2700;height:3135" id="docshape5" filled="false" stroked="true" strokeweight="3.0pt" strokecolor="#ffffff">
                  <v:stroke dashstyle="solid"/>
                </v:rect>
                <v:shape style="position:absolute;left:885;top:960;width:2640;height:3075" type="#_x0000_t75" id="docshape6" stroked="false">
                  <v:imagedata r:id="rId5" o:title=""/>
                </v:shape>
                <v:shape style="position:absolute;left:720;top:5385;width:317;height:317" type="#_x0000_t75" id="docshape7" stroked="false">
                  <v:imagedata r:id="rId6" o:title=""/>
                </v:shape>
                <v:shape style="position:absolute;left:740;top:5925;width:275;height:317" type="#_x0000_t75" id="docshape8" stroked="false">
                  <v:imagedata r:id="rId7" o:title=""/>
                </v:shape>
                <v:shape style="position:absolute;left:721;top:6465;width:315;height:317" type="#_x0000_t75" id="docshape9" stroked="false">
                  <v:imagedata r:id="rId8" o:title=""/>
                </v:shape>
                <v:shape style="position:absolute;left:719;top:7875;width:75;height:6120" id="docshape10" coordorigin="720,7875" coordsize="75,6120" path="m795,13952l794,13947,790,13938,788,13934,781,13927,777,13925,768,13921,763,13920,752,13920,747,13921,738,13925,734,13927,727,13934,725,13938,721,13947,720,13952,720,13958,720,13963,721,13968,725,13977,727,13981,734,13988,738,13990,747,13994,752,13995,763,13995,768,13994,777,13990,781,13988,788,13981,790,13977,794,13968,795,13963,795,13952xm795,13637l794,13632,790,13623,788,13619,781,13612,777,13610,768,13606,763,13605,752,13605,747,13606,738,13610,734,13612,727,13619,725,13623,721,13632,720,13637,720,13643,720,13648,721,13653,725,13662,727,13666,734,13673,738,13675,747,13679,752,13680,763,13680,768,13679,777,13675,781,13673,788,13666,790,13662,794,13653,795,13648,795,13637xm795,13322l794,13317,790,13308,788,13304,781,13297,777,13295,768,13291,763,13290,752,13290,747,13291,738,13295,734,13297,727,13304,725,13308,721,13317,720,13322,720,13328,720,13333,721,13338,725,13347,727,13351,734,13358,738,13360,747,13364,752,13365,763,13365,768,13364,777,13360,781,13358,788,13351,790,13347,794,13338,795,13333,795,13322xm795,12776l794,12772,791,12765,789,12762,783,12756,780,12754,773,12751,769,12750,746,12750,742,12751,735,12754,732,12756,726,12762,724,12765,721,12772,720,12776,720,12780,720,12784,721,12788,724,12795,726,12798,732,12804,735,12806,742,12809,746,12810,769,12810,773,12809,780,12806,783,12804,789,12798,791,12795,794,12788,795,12784,795,12776xm795,12452l794,12447,790,12438,788,12434,781,12427,777,12425,768,12421,763,12420,752,12420,747,12421,738,12425,734,12427,727,12434,725,12438,721,12447,720,12452,720,12458,720,12463,721,12468,725,12477,727,12481,734,12488,738,12490,747,12494,752,12495,763,12495,768,12494,777,12490,781,12488,788,12481,790,12477,794,12468,795,12463,795,12452xm795,12137l794,12132,790,12123,788,12119,781,12112,777,12110,768,12106,763,12105,752,12105,747,12106,738,12110,734,12112,727,12119,725,12123,721,12132,720,12137,720,12143,720,12148,721,12153,725,12162,727,12166,734,12173,738,12175,747,12179,752,12180,763,12180,768,12179,777,12175,781,12173,788,12166,790,12162,794,12153,795,12148,795,12137xm795,11822l794,11817,790,11808,788,11804,781,11797,777,11795,768,11791,763,11790,752,11790,747,11791,738,11795,734,11797,727,11804,725,11808,721,11817,720,11822,720,11828,720,11833,721,11838,725,11847,727,11851,734,11858,738,11860,747,11864,752,11865,763,11865,768,11864,777,11860,781,11858,788,11851,790,11847,794,11838,795,11833,795,11822xm795,11507l794,11502,790,11493,788,11489,781,11482,777,11480,768,11476,763,11475,752,11475,747,11476,738,11480,734,11482,727,11489,725,11493,721,11502,720,11507,720,11513,720,11518,721,11523,725,11532,727,11536,734,11543,738,11545,747,11549,752,11550,763,11550,768,11549,777,11545,781,11543,788,11536,790,11532,794,11523,795,11518,795,11507xm795,11192l794,11187,790,11178,788,11174,781,11167,777,11165,768,11161,763,11160,752,11160,747,11161,738,11165,734,11167,727,11174,725,11178,721,11187,720,11192,720,11198,720,11203,721,11208,725,11217,727,11221,734,11228,738,11230,747,11234,752,11235,763,11235,768,11234,777,11230,781,11228,788,11221,790,11217,794,11208,795,11203,795,11192xm795,10862l794,10857,790,10848,788,10844,781,10837,777,10835,768,10831,763,10830,752,10830,747,10831,738,10835,734,10837,727,10844,725,10848,721,10857,720,10862,720,10868,720,10873,721,10878,725,10887,727,10891,734,10898,738,10900,747,10904,752,10905,763,10905,768,10904,777,10900,781,10898,788,10891,790,10887,794,10878,795,10873,795,10862xm795,9122l794,9117,790,9108,788,9104,781,9097,777,9095,768,9091,763,9090,752,9090,747,9091,738,9095,734,9097,727,9104,725,9108,721,9117,720,9122,720,9128,720,9133,721,9138,725,9147,727,9151,734,9158,738,9160,747,9164,752,9165,763,9165,768,9164,777,9160,781,9158,788,9151,790,9147,794,9138,795,9133,795,9122xm795,7907l794,7902,790,7893,788,7889,781,7882,777,7880,768,7876,763,7875,752,7875,747,7876,738,7880,734,7882,727,7889,725,7893,721,7902,720,7907,720,7913,720,7918,721,7923,725,7932,727,7936,734,7943,738,7945,747,7949,752,7950,763,7950,768,7949,777,7945,781,7943,788,7936,790,7932,794,7923,795,7918,795,79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(801)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0173</w:t>
      </w:r>
    </w:p>
    <w:p>
      <w:pPr>
        <w:pStyle w:val="BodyText"/>
        <w:spacing w:before="126"/>
      </w:pPr>
    </w:p>
    <w:p>
      <w:pPr>
        <w:pStyle w:val="BodyText"/>
        <w:spacing w:line="626" w:lineRule="auto"/>
        <w:ind w:left="1050" w:right="506"/>
      </w:pPr>
      <w:hyperlink r:id="rId9">
        <w:r>
          <w:rPr>
            <w:color w:val="FFFFFF"/>
            <w:spacing w:val="-2"/>
          </w:rPr>
          <w:t>priya.nadkarni@example.com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Salt Lake City, UT 12345</w:t>
      </w:r>
    </w:p>
    <w:p>
      <w:pPr>
        <w:pStyle w:val="Heading1"/>
        <w:spacing w:before="168"/>
      </w:pPr>
      <w:r>
        <w:rPr>
          <w:color w:val="FFFFFF"/>
          <w:spacing w:val="-2"/>
        </w:rPr>
        <w:t>EDUCATION</w:t>
      </w:r>
    </w:p>
    <w:p>
      <w:pPr>
        <w:pStyle w:val="BodyText"/>
        <w:spacing w:before="29"/>
        <w:rPr>
          <w:sz w:val="24"/>
        </w:rPr>
      </w:pPr>
    </w:p>
    <w:p>
      <w:pPr>
        <w:pStyle w:val="BodyText"/>
        <w:spacing w:line="261" w:lineRule="auto"/>
        <w:ind w:left="882"/>
      </w:pPr>
      <w:r>
        <w:rPr>
          <w:color w:val="FFFFFF"/>
          <w:spacing w:val="-2"/>
          <w:w w:val="105"/>
        </w:rPr>
        <w:t>M.B.A.,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University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Utah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Eccles </w:t>
      </w:r>
      <w:r>
        <w:rPr>
          <w:color w:val="FFFFFF"/>
          <w:w w:val="105"/>
        </w:rPr>
        <w:t>School of Business, 2017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ind w:left="882"/>
      </w:pPr>
      <w:r>
        <w:rPr>
          <w:color w:val="FFFFFF"/>
        </w:rPr>
        <w:t>B.A.</w:t>
      </w:r>
      <w:r>
        <w:rPr>
          <w:color w:val="FFFFFF"/>
          <w:spacing w:val="13"/>
        </w:rPr>
        <w:t> </w:t>
      </w:r>
      <w:r>
        <w:rPr>
          <w:color w:val="FFFFFF"/>
        </w:rPr>
        <w:t>Economics,</w:t>
      </w:r>
      <w:r>
        <w:rPr>
          <w:color w:val="FFFFFF"/>
          <w:spacing w:val="13"/>
        </w:rPr>
        <w:t> </w:t>
      </w:r>
      <w:r>
        <w:rPr>
          <w:color w:val="FFFFFF"/>
        </w:rPr>
        <w:t>Reed</w:t>
      </w:r>
      <w:r>
        <w:rPr>
          <w:color w:val="FFFFFF"/>
          <w:spacing w:val="13"/>
        </w:rPr>
        <w:t> </w:t>
      </w:r>
      <w:r>
        <w:rPr>
          <w:color w:val="FFFFFF"/>
        </w:rPr>
        <w:t>College,</w:t>
      </w:r>
      <w:r>
        <w:rPr>
          <w:color w:val="FFFFFF"/>
          <w:spacing w:val="13"/>
        </w:rPr>
        <w:t> </w:t>
      </w:r>
      <w:r>
        <w:rPr>
          <w:color w:val="FFFFFF"/>
          <w:spacing w:val="-4"/>
        </w:rPr>
        <w:t>2013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9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4"/>
        <w:rPr>
          <w:sz w:val="24"/>
        </w:rPr>
      </w:pPr>
    </w:p>
    <w:p>
      <w:pPr>
        <w:pStyle w:val="BodyText"/>
        <w:spacing w:line="381" w:lineRule="auto"/>
        <w:ind w:left="882" w:right="705"/>
      </w:pPr>
      <w:r>
        <w:rPr>
          <w:color w:val="FFFFFF"/>
          <w:w w:val="105"/>
        </w:rPr>
        <w:t>Long-range planning </w:t>
      </w:r>
      <w:r>
        <w:rPr>
          <w:color w:val="FFFFFF"/>
          <w:spacing w:val="-2"/>
          <w:w w:val="105"/>
        </w:rPr>
        <w:t>Anaplan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administration</w:t>
      </w:r>
    </w:p>
    <w:p>
      <w:pPr>
        <w:pStyle w:val="BodyText"/>
        <w:spacing w:line="194" w:lineRule="exact"/>
        <w:ind w:left="882"/>
      </w:pPr>
      <w:r>
        <w:rPr>
          <w:color w:val="FFFFFF"/>
          <w:spacing w:val="-2"/>
          <w:w w:val="105"/>
        </w:rPr>
        <w:t>Board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audit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committee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reporting</w:t>
      </w:r>
    </w:p>
    <w:p>
      <w:pPr>
        <w:pStyle w:val="BodyText"/>
        <w:spacing w:before="108"/>
        <w:ind w:left="882"/>
      </w:pPr>
      <w:r>
        <w:rPr>
          <w:color w:val="FFFFFF"/>
        </w:rPr>
        <w:t>Pricing</w:t>
      </w:r>
      <w:r>
        <w:rPr>
          <w:color w:val="FFFFFF"/>
          <w:spacing w:val="11"/>
        </w:rPr>
        <w:t> </w:t>
      </w:r>
      <w:r>
        <w:rPr>
          <w:color w:val="FFFFFF"/>
          <w:spacing w:val="-2"/>
        </w:rPr>
        <w:t>strategy</w:t>
      </w:r>
    </w:p>
    <w:p>
      <w:pPr>
        <w:pStyle w:val="BodyText"/>
        <w:spacing w:line="364" w:lineRule="auto" w:before="108"/>
        <w:ind w:left="882" w:right="506"/>
      </w:pPr>
      <w:r>
        <w:rPr>
          <w:color w:val="FFFFFF"/>
          <w:spacing w:val="-2"/>
          <w:w w:val="105"/>
        </w:rPr>
        <w:t>Sales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compensation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design </w:t>
      </w:r>
      <w:r>
        <w:rPr>
          <w:color w:val="FFFFFF"/>
          <w:w w:val="105"/>
        </w:rPr>
        <w:t>M&amp;A diligence support</w:t>
      </w:r>
    </w:p>
    <w:p>
      <w:pPr>
        <w:pStyle w:val="BodyText"/>
        <w:spacing w:line="261" w:lineRule="auto" w:before="16"/>
        <w:ind w:left="882" w:right="88"/>
      </w:pPr>
      <w:r>
        <w:rPr>
          <w:color w:val="FFFFFF"/>
          <w:w w:val="105"/>
        </w:rPr>
        <w:t>SaaS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KPIs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(ARR,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NRR,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CAC,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magic </w:t>
      </w:r>
      <w:r>
        <w:rPr>
          <w:color w:val="FFFFFF"/>
          <w:spacing w:val="-2"/>
          <w:w w:val="105"/>
        </w:rPr>
        <w:t>number)</w:t>
      </w:r>
    </w:p>
    <w:p>
      <w:pPr>
        <w:pStyle w:val="BodyText"/>
        <w:spacing w:line="364" w:lineRule="auto" w:before="89"/>
        <w:ind w:left="882" w:right="506"/>
      </w:pPr>
      <w:r>
        <w:rPr>
          <w:color w:val="FFFFFF"/>
          <w:spacing w:val="-2"/>
          <w:w w:val="105"/>
        </w:rPr>
        <w:t>Team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leadership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(4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reports) </w:t>
      </w:r>
      <w:r>
        <w:rPr>
          <w:color w:val="FFFFFF"/>
          <w:w w:val="105"/>
        </w:rPr>
        <w:t>SQL, Snowﬂake basics </w:t>
      </w:r>
      <w:r>
        <w:rPr>
          <w:color w:val="FFFFFF"/>
          <w:spacing w:val="-2"/>
          <w:w w:val="105"/>
        </w:rPr>
        <w:t>Tableau</w:t>
      </w:r>
    </w:p>
    <w:p>
      <w:pPr>
        <w:pStyle w:val="BodyText"/>
        <w:tabs>
          <w:tab w:pos="715" w:val="left" w:leader="none"/>
        </w:tabs>
        <w:spacing w:line="261" w:lineRule="auto" w:before="75"/>
        <w:ind w:left="715" w:right="963" w:hanging="298"/>
      </w:pPr>
      <w:r>
        <w:rPr/>
        <w:br w:type="column"/>
      </w: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Lead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team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four</w:t>
      </w:r>
      <w:r>
        <w:rPr>
          <w:spacing w:val="-13"/>
          <w:w w:val="105"/>
        </w:rPr>
        <w:t> </w:t>
      </w:r>
      <w:r>
        <w:rPr>
          <w:w w:val="105"/>
        </w:rPr>
        <w:t>supporting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$310M</w:t>
      </w:r>
      <w:r>
        <w:rPr>
          <w:spacing w:val="-14"/>
          <w:w w:val="105"/>
        </w:rPr>
        <w:t> </w:t>
      </w:r>
      <w:r>
        <w:rPr>
          <w:w w:val="105"/>
        </w:rPr>
        <w:t>ARR</w:t>
      </w:r>
      <w:r>
        <w:rPr>
          <w:spacing w:val="-11"/>
          <w:w w:val="105"/>
        </w:rPr>
        <w:t> </w:t>
      </w:r>
      <w:r>
        <w:rPr>
          <w:w w:val="105"/>
        </w:rPr>
        <w:t>business</w:t>
      </w:r>
      <w:r>
        <w:rPr>
          <w:spacing w:val="-12"/>
          <w:w w:val="105"/>
        </w:rPr>
        <w:t> </w:t>
      </w:r>
      <w:r>
        <w:rPr>
          <w:w w:val="105"/>
        </w:rPr>
        <w:t>across</w:t>
      </w:r>
      <w:r>
        <w:rPr>
          <w:spacing w:val="-12"/>
          <w:w w:val="105"/>
        </w:rPr>
        <w:t> </w:t>
      </w:r>
      <w:r>
        <w:rPr>
          <w:w w:val="105"/>
        </w:rPr>
        <w:t>two operating segments.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859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long-range</w:t>
      </w:r>
      <w:r>
        <w:rPr>
          <w:spacing w:val="-12"/>
          <w:w w:val="105"/>
        </w:rPr>
        <w:t> </w:t>
      </w:r>
      <w:r>
        <w:rPr>
          <w:w w:val="105"/>
        </w:rPr>
        <w:t>plan</w:t>
      </w:r>
      <w:r>
        <w:rPr>
          <w:spacing w:val="-12"/>
          <w:w w:val="105"/>
        </w:rPr>
        <w:t> </w:t>
      </w:r>
      <w:r>
        <w:rPr>
          <w:w w:val="105"/>
        </w:rPr>
        <w:t>used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2023</w:t>
      </w:r>
      <w:r>
        <w:rPr>
          <w:spacing w:val="-12"/>
          <w:w w:val="105"/>
        </w:rPr>
        <w:t> </w:t>
      </w:r>
      <w:r>
        <w:rPr>
          <w:w w:val="105"/>
        </w:rPr>
        <w:t>Series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raise,</w:t>
      </w:r>
      <w:r>
        <w:rPr>
          <w:spacing w:val="-12"/>
          <w:w w:val="105"/>
        </w:rPr>
        <w:t> </w:t>
      </w:r>
      <w:r>
        <w:rPr>
          <w:w w:val="105"/>
        </w:rPr>
        <w:t>defending assumptions across four investor meetings.</w:t>
      </w:r>
    </w:p>
    <w:p>
      <w:pPr>
        <w:pStyle w:val="BodyText"/>
        <w:tabs>
          <w:tab w:pos="715" w:val="left" w:leader="none"/>
        </w:tabs>
        <w:spacing w:line="261" w:lineRule="auto" w:before="104"/>
        <w:ind w:left="715" w:right="581" w:hanging="29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Reset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territory</w:t>
      </w:r>
      <w:r>
        <w:rPr>
          <w:spacing w:val="-13"/>
          <w:w w:val="105"/>
        </w:rPr>
        <w:t> </w:t>
      </w:r>
      <w:r>
        <w:rPr>
          <w:w w:val="105"/>
        </w:rPr>
        <w:t>carving</w:t>
      </w:r>
      <w:r>
        <w:rPr>
          <w:spacing w:val="-13"/>
          <w:w w:val="105"/>
        </w:rPr>
        <w:t> </w:t>
      </w:r>
      <w:r>
        <w:rPr>
          <w:w w:val="105"/>
        </w:rPr>
        <w:t>model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sales</w:t>
      </w:r>
      <w:r>
        <w:rPr>
          <w:spacing w:val="-13"/>
          <w:w w:val="105"/>
        </w:rPr>
        <w:t> </w:t>
      </w:r>
      <w:r>
        <w:rPr>
          <w:w w:val="105"/>
        </w:rPr>
        <w:t>ops,</w:t>
      </w:r>
      <w:r>
        <w:rPr>
          <w:spacing w:val="-14"/>
          <w:w w:val="105"/>
        </w:rPr>
        <w:t> </w:t>
      </w:r>
      <w:r>
        <w:rPr>
          <w:w w:val="105"/>
        </w:rPr>
        <w:t>which</w:t>
      </w:r>
      <w:r>
        <w:rPr>
          <w:spacing w:val="-13"/>
          <w:w w:val="105"/>
        </w:rPr>
        <w:t> </w:t>
      </w:r>
      <w:r>
        <w:rPr>
          <w:w w:val="105"/>
        </w:rPr>
        <w:t>lifted</w:t>
      </w:r>
      <w:r>
        <w:rPr>
          <w:spacing w:val="-13"/>
          <w:w w:val="105"/>
        </w:rPr>
        <w:t> </w:t>
      </w:r>
      <w:r>
        <w:rPr>
          <w:w w:val="105"/>
        </w:rPr>
        <w:t>attainment from 71% to 84% in one ﬁscal year.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519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Own</w:t>
      </w:r>
      <w:r>
        <w:rPr>
          <w:spacing w:val="-14"/>
          <w:w w:val="105"/>
        </w:rPr>
        <w:t> </w:t>
      </w:r>
      <w:r>
        <w:rPr>
          <w:w w:val="105"/>
        </w:rPr>
        <w:t>quarterly</w:t>
      </w:r>
      <w:r>
        <w:rPr>
          <w:spacing w:val="-13"/>
          <w:w w:val="105"/>
        </w:rPr>
        <w:t> </w:t>
      </w:r>
      <w:r>
        <w:rPr>
          <w:w w:val="105"/>
        </w:rPr>
        <w:t>board</w:t>
      </w:r>
      <w:r>
        <w:rPr>
          <w:spacing w:val="-13"/>
          <w:w w:val="105"/>
        </w:rPr>
        <w:t> </w:t>
      </w:r>
      <w:r>
        <w:rPr>
          <w:w w:val="105"/>
        </w:rPr>
        <w:t>materials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audit</w:t>
      </w:r>
      <w:r>
        <w:rPr>
          <w:spacing w:val="-13"/>
          <w:w w:val="105"/>
        </w:rPr>
        <w:t> </w:t>
      </w:r>
      <w:r>
        <w:rPr>
          <w:w w:val="105"/>
        </w:rPr>
        <w:t>committee</w:t>
      </w:r>
      <w:r>
        <w:rPr>
          <w:spacing w:val="-14"/>
          <w:w w:val="105"/>
        </w:rPr>
        <w:t> </w:t>
      </w:r>
      <w:r>
        <w:rPr>
          <w:w w:val="105"/>
        </w:rPr>
        <w:t>pack,</w:t>
      </w:r>
      <w:r>
        <w:rPr>
          <w:spacing w:val="-13"/>
          <w:w w:val="105"/>
        </w:rPr>
        <w:t> </w:t>
      </w:r>
      <w:r>
        <w:rPr>
          <w:w w:val="105"/>
        </w:rPr>
        <w:t>partnering directly with the CFO and controller.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575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Drove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rollout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Anaplan,</w:t>
      </w:r>
      <w:r>
        <w:rPr>
          <w:spacing w:val="-13"/>
          <w:w w:val="105"/>
        </w:rPr>
        <w:t> </w:t>
      </w:r>
      <w:r>
        <w:rPr>
          <w:w w:val="105"/>
        </w:rPr>
        <w:t>retiring</w:t>
      </w:r>
      <w:r>
        <w:rPr>
          <w:spacing w:val="-13"/>
          <w:w w:val="105"/>
        </w:rPr>
        <w:t> </w:t>
      </w:r>
      <w:r>
        <w:rPr>
          <w:w w:val="105"/>
        </w:rPr>
        <w:t>40+</w:t>
      </w:r>
      <w:r>
        <w:rPr>
          <w:spacing w:val="-13"/>
          <w:w w:val="105"/>
        </w:rPr>
        <w:t> </w:t>
      </w:r>
      <w:r>
        <w:rPr>
          <w:w w:val="105"/>
        </w:rPr>
        <w:t>planning</w:t>
      </w:r>
      <w:r>
        <w:rPr>
          <w:spacing w:val="-14"/>
          <w:w w:val="105"/>
        </w:rPr>
        <w:t> </w:t>
      </w:r>
      <w:r>
        <w:rPr>
          <w:w w:val="105"/>
        </w:rPr>
        <w:t>spreadsheets</w:t>
      </w:r>
      <w:r>
        <w:rPr>
          <w:spacing w:val="-13"/>
          <w:w w:val="105"/>
        </w:rPr>
        <w:t> </w:t>
      </w:r>
      <w:r>
        <w:rPr>
          <w:w w:val="105"/>
        </w:rPr>
        <w:t>across </w:t>
      </w:r>
      <w:r>
        <w:rPr>
          <w:spacing w:val="-2"/>
          <w:w w:val="105"/>
        </w:rPr>
        <w:t>functions.</w:t>
      </w:r>
    </w:p>
    <w:p>
      <w:pPr>
        <w:pStyle w:val="BodyText"/>
        <w:spacing w:before="1"/>
      </w:pPr>
    </w:p>
    <w:p>
      <w:pPr>
        <w:pStyle w:val="BodyText"/>
        <w:spacing w:line="261" w:lineRule="auto" w:before="1"/>
        <w:ind w:left="139" w:right="2649"/>
      </w:pPr>
      <w:r>
        <w:rPr>
          <w:w w:val="105"/>
        </w:rPr>
        <w:t>Finance</w:t>
      </w:r>
      <w:r>
        <w:rPr>
          <w:spacing w:val="-14"/>
          <w:w w:val="105"/>
        </w:rPr>
        <w:t> </w:t>
      </w:r>
      <w:r>
        <w:rPr>
          <w:w w:val="105"/>
        </w:rPr>
        <w:t>Manager,</w:t>
      </w:r>
      <w:r>
        <w:rPr>
          <w:spacing w:val="-13"/>
          <w:w w:val="105"/>
        </w:rPr>
        <w:t> </w:t>
      </w:r>
      <w:r>
        <w:rPr>
          <w:w w:val="105"/>
        </w:rPr>
        <w:t>GTM</w:t>
      </w:r>
      <w:r>
        <w:rPr>
          <w:spacing w:val="-13"/>
          <w:w w:val="105"/>
        </w:rPr>
        <w:t> </w:t>
      </w:r>
      <w:r>
        <w:rPr>
          <w:w w:val="105"/>
        </w:rPr>
        <w:t>Finance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2017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2020 Kestrel Vantage Software, Salt Lake City, UT</w:t>
      </w:r>
    </w:p>
    <w:p>
      <w:pPr>
        <w:pStyle w:val="BodyText"/>
        <w:spacing w:before="46"/>
      </w:pPr>
    </w:p>
    <w:p>
      <w:pPr>
        <w:pStyle w:val="BodyText"/>
        <w:tabs>
          <w:tab w:pos="715" w:val="left" w:leader="none"/>
        </w:tabs>
        <w:spacing w:line="261" w:lineRule="auto"/>
        <w:ind w:left="715" w:right="756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Partnered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CRO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pipeline</w:t>
      </w:r>
      <w:r>
        <w:rPr>
          <w:spacing w:val="-13"/>
          <w:w w:val="105"/>
        </w:rPr>
        <w:t> </w:t>
      </w:r>
      <w:r>
        <w:rPr>
          <w:w w:val="105"/>
        </w:rPr>
        <w:t>coverage,</w:t>
      </w:r>
      <w:r>
        <w:rPr>
          <w:spacing w:val="-13"/>
          <w:w w:val="105"/>
        </w:rPr>
        <w:t> </w:t>
      </w:r>
      <w:r>
        <w:rPr>
          <w:w w:val="105"/>
        </w:rPr>
        <w:t>conversion,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quota </w:t>
      </w:r>
      <w:r>
        <w:rPr>
          <w:spacing w:val="-2"/>
          <w:w w:val="105"/>
        </w:rPr>
        <w:t>planning.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539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Rebuilt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pricing</w:t>
      </w:r>
      <w:r>
        <w:rPr>
          <w:spacing w:val="-13"/>
          <w:w w:val="105"/>
        </w:rPr>
        <w:t> </w:t>
      </w:r>
      <w:r>
        <w:rPr>
          <w:w w:val="105"/>
        </w:rPr>
        <w:t>model</w:t>
      </w:r>
      <w:r>
        <w:rPr>
          <w:spacing w:val="-13"/>
          <w:w w:val="105"/>
        </w:rPr>
        <w:t> </w:t>
      </w:r>
      <w:r>
        <w:rPr>
          <w:w w:val="105"/>
        </w:rPr>
        <w:t>after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packaging</w:t>
      </w:r>
      <w:r>
        <w:rPr>
          <w:spacing w:val="-13"/>
          <w:w w:val="105"/>
        </w:rPr>
        <w:t> </w:t>
      </w:r>
      <w:r>
        <w:rPr>
          <w:w w:val="105"/>
        </w:rPr>
        <w:t>change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had</w:t>
      </w:r>
      <w:r>
        <w:rPr>
          <w:spacing w:val="-13"/>
          <w:w w:val="105"/>
        </w:rPr>
        <w:t> </w:t>
      </w:r>
      <w:r>
        <w:rPr>
          <w:w w:val="105"/>
        </w:rPr>
        <w:t>quietly</w:t>
      </w:r>
      <w:r>
        <w:rPr>
          <w:spacing w:val="-13"/>
          <w:w w:val="105"/>
        </w:rPr>
        <w:t> </w:t>
      </w:r>
      <w:r>
        <w:rPr>
          <w:w w:val="105"/>
        </w:rPr>
        <w:t>cost about $4.1M in deferred deals.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374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Owned</w:t>
      </w:r>
      <w:r>
        <w:rPr>
          <w:spacing w:val="-14"/>
          <w:w w:val="105"/>
        </w:rPr>
        <w:t> </w:t>
      </w:r>
      <w:r>
        <w:rPr>
          <w:w w:val="105"/>
        </w:rPr>
        <w:t>commissions</w:t>
      </w:r>
      <w:r>
        <w:rPr>
          <w:spacing w:val="-13"/>
          <w:w w:val="105"/>
        </w:rPr>
        <w:t> </w:t>
      </w:r>
      <w:r>
        <w:rPr>
          <w:w w:val="105"/>
        </w:rPr>
        <w:t>design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direct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channel</w:t>
      </w:r>
      <w:r>
        <w:rPr>
          <w:spacing w:val="-13"/>
          <w:w w:val="105"/>
        </w:rPr>
        <w:t> </w:t>
      </w:r>
      <w:r>
        <w:rPr>
          <w:w w:val="105"/>
        </w:rPr>
        <w:t>teams</w:t>
      </w:r>
      <w:r>
        <w:rPr>
          <w:spacing w:val="-14"/>
          <w:w w:val="105"/>
        </w:rPr>
        <w:t> </w:t>
      </w:r>
      <w:r>
        <w:rPr>
          <w:w w:val="105"/>
        </w:rPr>
        <w:t>totaling</w:t>
      </w:r>
      <w:r>
        <w:rPr>
          <w:spacing w:val="-13"/>
          <w:w w:val="105"/>
        </w:rPr>
        <w:t> </w:t>
      </w:r>
      <w:r>
        <w:rPr>
          <w:w w:val="105"/>
        </w:rPr>
        <w:t>180 quota carriers.</w:t>
      </w:r>
    </w:p>
    <w:p>
      <w:pPr>
        <w:pStyle w:val="BodyText"/>
        <w:tabs>
          <w:tab w:pos="715" w:val="left" w:leader="none"/>
        </w:tabs>
        <w:spacing w:before="89"/>
        <w:ind w:left="41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Hired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ramped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two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analysts.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139" w:right="3360"/>
      </w:pPr>
      <w:r>
        <w:rPr>
          <w:w w:val="105"/>
        </w:rPr>
        <w:t>Senior</w:t>
      </w:r>
      <w:r>
        <w:rPr>
          <w:spacing w:val="-14"/>
          <w:w w:val="105"/>
        </w:rPr>
        <w:t> </w:t>
      </w:r>
      <w:r>
        <w:rPr>
          <w:w w:val="105"/>
        </w:rPr>
        <w:t>Financial</w:t>
      </w:r>
      <w:r>
        <w:rPr>
          <w:spacing w:val="-13"/>
          <w:w w:val="105"/>
        </w:rPr>
        <w:t> </w:t>
      </w:r>
      <w:r>
        <w:rPr>
          <w:w w:val="105"/>
        </w:rPr>
        <w:t>Analyst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2014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2017 Argent Ridge Capital, Denver, CO</w:t>
      </w:r>
    </w:p>
    <w:p>
      <w:pPr>
        <w:pStyle w:val="BodyText"/>
        <w:spacing w:before="46"/>
      </w:pPr>
    </w:p>
    <w:p>
      <w:pPr>
        <w:pStyle w:val="BodyText"/>
        <w:tabs>
          <w:tab w:pos="715" w:val="left" w:leader="none"/>
        </w:tabs>
        <w:spacing w:line="261" w:lineRule="auto" w:before="1"/>
        <w:ind w:left="715" w:right="1014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Modeled</w:t>
      </w:r>
      <w:r>
        <w:rPr>
          <w:spacing w:val="-14"/>
          <w:w w:val="105"/>
        </w:rPr>
        <w:t> </w:t>
      </w:r>
      <w:r>
        <w:rPr>
          <w:w w:val="105"/>
        </w:rPr>
        <w:t>LBO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growth-equity</w:t>
      </w:r>
      <w:r>
        <w:rPr>
          <w:spacing w:val="-13"/>
          <w:w w:val="105"/>
        </w:rPr>
        <w:t> </w:t>
      </w:r>
      <w:r>
        <w:rPr>
          <w:w w:val="105"/>
        </w:rPr>
        <w:t>transactions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generalist</w:t>
      </w:r>
      <w:r>
        <w:rPr>
          <w:spacing w:val="-14"/>
          <w:w w:val="105"/>
        </w:rPr>
        <w:t> </w:t>
      </w:r>
      <w:r>
        <w:rPr>
          <w:w w:val="105"/>
        </w:rPr>
        <w:t>fund managing roughly $1.2B.</w:t>
      </w:r>
    </w:p>
    <w:p>
      <w:pPr>
        <w:pStyle w:val="BodyText"/>
        <w:tabs>
          <w:tab w:pos="715" w:val="left" w:leader="none"/>
        </w:tabs>
        <w:spacing w:line="261" w:lineRule="auto" w:before="103"/>
        <w:ind w:left="715" w:right="1066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14"/>
          <w:w w:val="105"/>
        </w:rPr>
        <w:t> </w:t>
      </w:r>
      <w:r>
        <w:rPr>
          <w:w w:val="105"/>
        </w:rPr>
        <w:t>portfolio</w:t>
      </w:r>
      <w:r>
        <w:rPr>
          <w:spacing w:val="-13"/>
          <w:w w:val="105"/>
        </w:rPr>
        <w:t> </w:t>
      </w:r>
      <w:r>
        <w:rPr>
          <w:w w:val="105"/>
        </w:rPr>
        <w:t>company</w:t>
      </w:r>
      <w:r>
        <w:rPr>
          <w:spacing w:val="-13"/>
          <w:w w:val="105"/>
        </w:rPr>
        <w:t> </w:t>
      </w:r>
      <w:r>
        <w:rPr>
          <w:w w:val="105"/>
        </w:rPr>
        <w:t>KPI</w:t>
      </w:r>
      <w:r>
        <w:rPr>
          <w:spacing w:val="-13"/>
          <w:w w:val="105"/>
        </w:rPr>
        <w:t> </w:t>
      </w:r>
      <w:r>
        <w:rPr>
          <w:w w:val="105"/>
        </w:rPr>
        <w:t>reporting</w:t>
      </w:r>
      <w:r>
        <w:rPr>
          <w:spacing w:val="-13"/>
          <w:w w:val="105"/>
        </w:rPr>
        <w:t> </w:t>
      </w:r>
      <w:r>
        <w:rPr>
          <w:w w:val="105"/>
        </w:rPr>
        <w:t>consumed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partners</w:t>
      </w:r>
      <w:r>
        <w:rPr>
          <w:spacing w:val="-14"/>
          <w:w w:val="105"/>
        </w:rPr>
        <w:t> </w:t>
      </w:r>
      <w:r>
        <w:rPr>
          <w:w w:val="105"/>
        </w:rPr>
        <w:t>each </w:t>
      </w:r>
      <w:r>
        <w:rPr>
          <w:spacing w:val="-2"/>
          <w:w w:val="105"/>
        </w:rPr>
        <w:t>Monday.</w:t>
      </w:r>
    </w:p>
    <w:p>
      <w:pPr>
        <w:pStyle w:val="BodyText"/>
        <w:tabs>
          <w:tab w:pos="715" w:val="left" w:leader="none"/>
        </w:tabs>
        <w:spacing w:before="89"/>
        <w:ind w:left="41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Authored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diligence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memo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investment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that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returned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3.4x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exit.</w:t>
      </w:r>
    </w:p>
    <w:sectPr>
      <w:type w:val="continuous"/>
      <w:pgSz w:w="11920" w:h="16860"/>
      <w:pgMar w:top="0" w:bottom="0" w:left="141" w:right="0"/>
      <w:cols w:num="2" w:equalWidth="0">
        <w:col w:w="3981" w:space="650"/>
        <w:col w:w="71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2"/>
      <w:ind w:left="727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iya.nadkarni@example.com" TargetMode="Externa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2026-07-20T09:50:05Z</dcterms:created>
  <dcterms:modified xsi:type="dcterms:W3CDTF">2026-07-20T09:50:05Z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