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sz w:val="74"/>
        </w:rPr>
      </w:pPr>
      <w:r>
        <w:rPr>
          <w:color w:val="664EA6"/>
          <w:spacing w:val="-2"/>
          <w:sz w:val="74"/>
        </w:rPr>
        <w:t>PRIYA</w:t>
      </w:r>
    </w:p>
    <w:p>
      <w:pPr>
        <w:pStyle w:val="Heading1"/>
      </w:pPr>
      <w:r>
        <w:rPr>
          <w:color w:val="664EA6"/>
          <w:spacing w:val="-2"/>
        </w:rPr>
        <w:t>RAMASWAMY</w:t>
      </w:r>
    </w:p>
    <w:p>
      <w:pPr>
        <w:spacing w:before="195"/>
        <w:ind w:left="4192" w:right="41" w:firstLine="0"/>
        <w:jc w:val="center"/>
        <w:rPr>
          <w:sz w:val="20"/>
        </w:rPr>
      </w:pPr>
      <w:r>
        <w:rPr>
          <w:color w:val="664EA6"/>
          <w:sz w:val="20"/>
        </w:rPr>
        <w:t>F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C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L</w:t>
      </w:r>
      <w:r>
        <w:rPr>
          <w:color w:val="664EA6"/>
          <w:spacing w:val="72"/>
          <w:w w:val="150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L</w:t>
      </w:r>
      <w:r>
        <w:rPr>
          <w:color w:val="664EA6"/>
          <w:spacing w:val="-13"/>
          <w:sz w:val="20"/>
        </w:rPr>
        <w:t> </w:t>
      </w:r>
      <w:r>
        <w:rPr>
          <w:color w:val="664EA6"/>
          <w:sz w:val="20"/>
        </w:rPr>
        <w:t>Y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S</w:t>
      </w:r>
      <w:r>
        <w:rPr>
          <w:color w:val="664EA6"/>
          <w:spacing w:val="2"/>
          <w:sz w:val="20"/>
        </w:rPr>
        <w:t> </w:t>
      </w:r>
      <w:r>
        <w:rPr>
          <w:color w:val="664EA6"/>
          <w:spacing w:val="-10"/>
          <w:sz w:val="20"/>
        </w:rPr>
        <w:t>T</w:t>
      </w:r>
    </w:p>
    <w:p>
      <w:pPr>
        <w:pStyle w:val="BodyText"/>
        <w:spacing w:before="8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2"/>
        <w:rPr>
          <w:sz w:val="26"/>
        </w:rPr>
      </w:pPr>
    </w:p>
    <w:p>
      <w:pPr>
        <w:pStyle w:val="Heading2"/>
      </w:pPr>
      <w:r>
        <w:rPr>
          <w:color w:val="664EA6"/>
          <w:spacing w:val="-2"/>
        </w:rPr>
        <w:t>CONTACT</w:t>
      </w:r>
      <w:r>
        <w:rPr>
          <w:color w:val="664EA6"/>
          <w:spacing w:val="-6"/>
        </w:rPr>
        <w:t> </w:t>
      </w:r>
      <w:r>
        <w:rPr>
          <w:color w:val="664EA6"/>
          <w:spacing w:val="-4"/>
        </w:rPr>
        <w:t>INFORMATION</w:t>
      </w:r>
    </w:p>
    <w:p>
      <w:pPr>
        <w:spacing w:line="273" w:lineRule="auto" w:before="74"/>
        <w:ind w:left="77" w:right="50" w:firstLine="0"/>
        <w:jc w:val="center"/>
        <w:rPr>
          <w:sz w:val="18"/>
        </w:rPr>
      </w:pPr>
      <w:r>
        <w:rPr/>
        <w:br w:type="column"/>
      </w:r>
      <w:r>
        <w:rPr>
          <w:w w:val="105"/>
          <w:sz w:val="18"/>
        </w:rPr>
        <w:t>Financial analyst with six years across FP&amp;A and commercial finance for SaaS and consumer goods companies. Build driver-based forecast models, run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monthly close variance reviews, and partner with sales and marketing leaders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on quarterly planning. Comfortable in Excel, NetSuite, and Snowflake/SQL.</w:t>
      </w:r>
    </w:p>
    <w:p>
      <w:pPr>
        <w:spacing w:after="0" w:line="273" w:lineRule="auto"/>
        <w:jc w:val="center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958"/>
            <w:col w:w="6891"/>
          </w:cols>
        </w:sectPr>
      </w:pP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106"/>
        <w:ind w:left="839"/>
      </w:pPr>
      <w:r>
        <w:rPr>
          <w:spacing w:val="-2"/>
          <w:w w:val="105"/>
        </w:rPr>
        <w:t>(704)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0142</w:t>
      </w:r>
    </w:p>
    <w:p>
      <w:pPr>
        <w:pStyle w:val="Heading2"/>
        <w:spacing w:before="57"/>
        <w:ind w:left="839"/>
      </w:pPr>
      <w:r>
        <w:rPr>
          <w:b w:val="0"/>
        </w:rPr>
        <w:br w:type="column"/>
      </w:r>
      <w:r>
        <w:rPr>
          <w:color w:val="664EA6"/>
        </w:rPr>
        <w:t>PROFESSIONAL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EXPERIENCE</w:t>
      </w:r>
    </w:p>
    <w:p>
      <w:pPr>
        <w:pStyle w:val="Heading2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2024" w:space="1138"/>
            <w:col w:w="7908"/>
          </w:cols>
        </w:sectPr>
      </w:pPr>
    </w:p>
    <w:p>
      <w:pPr>
        <w:pStyle w:val="BodyText"/>
        <w:spacing w:before="3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line="273" w:lineRule="auto" w:before="79"/>
        <w:ind w:left="839"/>
      </w:pPr>
      <w:hyperlink r:id="rId5">
        <w:r>
          <w:rPr>
            <w:spacing w:val="-2"/>
            <w:w w:val="105"/>
          </w:rPr>
          <w:t>priya.ramaswamy@example.co</w:t>
        </w:r>
      </w:hyperlink>
      <w:r>
        <w:rPr>
          <w:spacing w:val="-2"/>
          <w:w w:val="105"/>
        </w:rPr>
        <w:t> </w:t>
      </w:r>
      <w:r>
        <w:rPr>
          <w:spacing w:val="-10"/>
          <w:w w:val="105"/>
        </w:rPr>
        <w:t>m</w:t>
      </w:r>
    </w:p>
    <w:p>
      <w:pPr>
        <w:pStyle w:val="BodyText"/>
        <w:spacing w:before="56"/>
      </w:pPr>
    </w:p>
    <w:p>
      <w:pPr>
        <w:pStyle w:val="BodyText"/>
        <w:ind w:left="839"/>
      </w:pPr>
      <w:r>
        <w:rPr>
          <w:w w:val="105"/>
        </w:rPr>
        <w:t>Charlotte,</w:t>
      </w:r>
      <w:r>
        <w:rPr>
          <w:spacing w:val="-10"/>
          <w:w w:val="105"/>
        </w:rPr>
        <w:t> </w:t>
      </w:r>
      <w:r>
        <w:rPr>
          <w:w w:val="105"/>
        </w:rPr>
        <w:t>NC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119"/>
      </w:pPr>
    </w:p>
    <w:p>
      <w:pPr>
        <w:pStyle w:val="Heading2"/>
      </w:pPr>
      <w:r>
        <w:rPr>
          <w:color w:val="664EA6"/>
        </w:rPr>
        <w:t>KEY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SKILLS</w:t>
      </w:r>
    </w:p>
    <w:p>
      <w:pPr>
        <w:pStyle w:val="BodyText"/>
        <w:spacing w:line="273" w:lineRule="auto" w:before="290"/>
        <w:ind w:left="653" w:right="372"/>
      </w:pPr>
      <w:r>
        <w:rPr>
          <w:w w:val="105"/>
        </w:rPr>
        <w:t>Driver-based</w:t>
      </w:r>
      <w:r>
        <w:rPr>
          <w:spacing w:val="-12"/>
          <w:w w:val="105"/>
        </w:rPr>
        <w:t> </w:t>
      </w:r>
      <w:r>
        <w:rPr>
          <w:w w:val="105"/>
        </w:rPr>
        <w:t>forecasting</w:t>
      </w:r>
      <w:r>
        <w:rPr>
          <w:spacing w:val="-12"/>
          <w:w w:val="105"/>
        </w:rPr>
        <w:t> </w:t>
      </w:r>
      <w:r>
        <w:rPr>
          <w:w w:val="105"/>
        </w:rPr>
        <w:t>and three-statement modeling</w:t>
      </w:r>
    </w:p>
    <w:p>
      <w:pPr>
        <w:pStyle w:val="BodyText"/>
        <w:spacing w:line="273" w:lineRule="auto" w:before="91"/>
        <w:ind w:left="653" w:right="328"/>
      </w:pPr>
      <w:r>
        <w:rPr>
          <w:w w:val="105"/>
        </w:rPr>
        <w:t>Excel</w:t>
      </w:r>
      <w:r>
        <w:rPr>
          <w:spacing w:val="-14"/>
          <w:w w:val="105"/>
        </w:rPr>
        <w:t> </w:t>
      </w:r>
      <w:r>
        <w:rPr>
          <w:w w:val="105"/>
        </w:rPr>
        <w:t>(Power</w:t>
      </w:r>
      <w:r>
        <w:rPr>
          <w:spacing w:val="-12"/>
          <w:w w:val="105"/>
        </w:rPr>
        <w:t> </w:t>
      </w:r>
      <w:r>
        <w:rPr>
          <w:w w:val="105"/>
        </w:rPr>
        <w:t>Query,</w:t>
      </w:r>
      <w:r>
        <w:rPr>
          <w:spacing w:val="-11"/>
          <w:w w:val="105"/>
        </w:rPr>
        <w:t> </w:t>
      </w:r>
      <w:r>
        <w:rPr>
          <w:w w:val="105"/>
        </w:rPr>
        <w:t>dynamic arrays, Monte Carlo)</w:t>
      </w:r>
    </w:p>
    <w:p>
      <w:pPr>
        <w:pStyle w:val="BodyText"/>
        <w:spacing w:line="391" w:lineRule="auto" w:before="105"/>
        <w:ind w:left="653" w:right="688"/>
      </w:pPr>
      <w:r>
        <w:rPr>
          <w:w w:val="105"/>
        </w:rPr>
        <w:t>SQL and Snowﬂake NetSuite,</w:t>
      </w:r>
      <w:r>
        <w:rPr>
          <w:spacing w:val="-12"/>
          <w:w w:val="105"/>
        </w:rPr>
        <w:t> </w:t>
      </w:r>
      <w:r>
        <w:rPr>
          <w:w w:val="105"/>
        </w:rPr>
        <w:t>SAP</w:t>
      </w:r>
      <w:r>
        <w:rPr>
          <w:spacing w:val="-12"/>
          <w:w w:val="105"/>
        </w:rPr>
        <w:t> </w:t>
      </w:r>
      <w:r>
        <w:rPr>
          <w:w w:val="105"/>
        </w:rPr>
        <w:t>S/4HANA Power BI, Tableau Salesforce reporting</w:t>
      </w:r>
    </w:p>
    <w:p>
      <w:pPr>
        <w:pStyle w:val="BodyText"/>
        <w:spacing w:line="273" w:lineRule="auto" w:before="1"/>
        <w:ind w:left="653" w:right="47"/>
      </w:pPr>
      <w:r>
        <w:rPr>
          <w:w w:val="105"/>
        </w:rPr>
        <w:t>Variance</w:t>
      </w:r>
      <w:r>
        <w:rPr>
          <w:spacing w:val="-14"/>
          <w:w w:val="105"/>
        </w:rPr>
        <w:t> </w:t>
      </w:r>
      <w:r>
        <w:rPr>
          <w:w w:val="105"/>
        </w:rPr>
        <w:t>analysis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month-end close support</w:t>
      </w:r>
    </w:p>
    <w:p>
      <w:pPr>
        <w:pStyle w:val="BodyText"/>
        <w:spacing w:line="273" w:lineRule="auto" w:before="90"/>
        <w:ind w:left="653"/>
      </w:pPr>
      <w:r>
        <w:rPr>
          <w:w w:val="105"/>
        </w:rPr>
        <w:t>Board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executive</w:t>
      </w:r>
      <w:r>
        <w:rPr>
          <w:spacing w:val="-11"/>
          <w:w w:val="105"/>
        </w:rPr>
        <w:t> </w:t>
      </w:r>
      <w:r>
        <w:rPr>
          <w:w w:val="105"/>
        </w:rPr>
        <w:t>narrative </w:t>
      </w:r>
      <w:r>
        <w:rPr>
          <w:spacing w:val="-2"/>
          <w:w w:val="105"/>
        </w:rPr>
        <w:t>writing</w:t>
      </w:r>
    </w:p>
    <w:p>
      <w:pPr>
        <w:spacing w:line="261" w:lineRule="auto" w:before="195"/>
        <w:ind w:left="77" w:right="403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Senior Financial</w:t>
      </w:r>
      <w:r>
        <w:rPr>
          <w:spacing w:val="-1"/>
          <w:sz w:val="18"/>
        </w:rPr>
        <w:t> </w:t>
      </w:r>
      <w:r>
        <w:rPr>
          <w:sz w:val="18"/>
        </w:rPr>
        <w:t>Analyst, FP&amp;A | Bellweather Software, Charlotte, NC | 2022 – </w:t>
      </w:r>
      <w:r>
        <w:rPr>
          <w:spacing w:val="-2"/>
          <w:sz w:val="18"/>
        </w:rPr>
        <w:t>Present</w:t>
      </w:r>
    </w:p>
    <w:p>
      <w:pPr>
        <w:pStyle w:val="BodyText"/>
        <w:spacing w:before="65"/>
        <w:rPr>
          <w:sz w:val="18"/>
        </w:rPr>
      </w:pPr>
    </w:p>
    <w:p>
      <w:pPr>
        <w:pStyle w:val="BodyText"/>
        <w:spacing w:line="273" w:lineRule="auto"/>
        <w:ind w:left="616" w:right="116"/>
      </w:pPr>
      <w:r>
        <w:rPr>
          <w:w w:val="105"/>
        </w:rPr>
        <w:t>Own the consolidated revenue forecast across three product lines, refreshed weekly against Salesforce pipeline and a churn model I rebuilt in 2023.</w:t>
      </w:r>
    </w:p>
    <w:p>
      <w:pPr>
        <w:pStyle w:val="BodyText"/>
        <w:spacing w:line="273" w:lineRule="auto" w:before="91"/>
        <w:ind w:left="616" w:right="116"/>
      </w:pPr>
      <w:r>
        <w:rPr>
          <w:w w:val="105"/>
        </w:rPr>
        <w:t>Cut</w:t>
      </w:r>
      <w:r>
        <w:rPr>
          <w:spacing w:val="-3"/>
          <w:w w:val="105"/>
        </w:rPr>
        <w:t> </w:t>
      </w:r>
      <w:r>
        <w:rPr>
          <w:w w:val="105"/>
        </w:rPr>
        <w:t>variance</w:t>
      </w:r>
      <w:r>
        <w:rPr>
          <w:spacing w:val="-3"/>
          <w:w w:val="105"/>
        </w:rPr>
        <w:t> </w:t>
      </w:r>
      <w:r>
        <w:rPr>
          <w:w w:val="105"/>
        </w:rPr>
        <w:t>between</w:t>
      </w:r>
      <w:r>
        <w:rPr>
          <w:spacing w:val="-3"/>
          <w:w w:val="105"/>
        </w:rPr>
        <w:t> </w:t>
      </w:r>
      <w:r>
        <w:rPr>
          <w:w w:val="105"/>
        </w:rPr>
        <w:t>forecast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actual</w:t>
      </w:r>
      <w:r>
        <w:rPr>
          <w:spacing w:val="-3"/>
          <w:w w:val="105"/>
        </w:rPr>
        <w:t> </w:t>
      </w:r>
      <w:r>
        <w:rPr>
          <w:w w:val="105"/>
        </w:rPr>
        <w:t>ARR</w:t>
      </w:r>
      <w:r>
        <w:rPr>
          <w:spacing w:val="-3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8.2%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2.4%</w:t>
      </w:r>
      <w:r>
        <w:rPr>
          <w:spacing w:val="-3"/>
          <w:w w:val="105"/>
        </w:rPr>
        <w:t> </w:t>
      </w:r>
      <w:r>
        <w:rPr>
          <w:w w:val="105"/>
        </w:rPr>
        <w:t>over</w:t>
      </w:r>
      <w:r>
        <w:rPr>
          <w:spacing w:val="-3"/>
          <w:w w:val="105"/>
        </w:rPr>
        <w:t> </w:t>
      </w:r>
      <w:r>
        <w:rPr>
          <w:w w:val="105"/>
        </w:rPr>
        <w:t>four</w:t>
      </w:r>
      <w:r>
        <w:rPr>
          <w:spacing w:val="-3"/>
          <w:w w:val="105"/>
        </w:rPr>
        <w:t> </w:t>
      </w:r>
      <w:r>
        <w:rPr>
          <w:w w:val="105"/>
        </w:rPr>
        <w:t>quarters by adding cohort retention drivers and a seasonality overlay.</w:t>
      </w:r>
    </w:p>
    <w:p>
      <w:pPr>
        <w:pStyle w:val="BodyText"/>
        <w:spacing w:line="273" w:lineRule="auto" w:before="105"/>
        <w:ind w:left="616" w:right="403"/>
      </w:pPr>
      <w:r>
        <w:rPr>
          <w:w w:val="105"/>
        </w:rPr>
        <w:t>Run</w:t>
      </w:r>
      <w:r>
        <w:rPr>
          <w:spacing w:val="-1"/>
          <w:w w:val="105"/>
        </w:rPr>
        <w:t> </w:t>
      </w:r>
      <w:r>
        <w:rPr>
          <w:w w:val="105"/>
        </w:rPr>
        <w:t>monthly</w:t>
      </w:r>
      <w:r>
        <w:rPr>
          <w:spacing w:val="-1"/>
          <w:w w:val="105"/>
        </w:rPr>
        <w:t> </w:t>
      </w:r>
      <w:r>
        <w:rPr>
          <w:w w:val="105"/>
        </w:rPr>
        <w:t>business</w:t>
      </w:r>
      <w:r>
        <w:rPr>
          <w:spacing w:val="-1"/>
          <w:w w:val="105"/>
        </w:rPr>
        <w:t> </w:t>
      </w:r>
      <w:r>
        <w:rPr>
          <w:w w:val="105"/>
        </w:rPr>
        <w:t>reviews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CRO,</w:t>
      </w:r>
      <w:r>
        <w:rPr>
          <w:spacing w:val="-1"/>
          <w:w w:val="105"/>
        </w:rPr>
        <w:t> </w:t>
      </w:r>
      <w:r>
        <w:rPr>
          <w:w w:val="105"/>
        </w:rPr>
        <w:t>including</w:t>
      </w:r>
      <w:r>
        <w:rPr>
          <w:spacing w:val="-1"/>
          <w:w w:val="105"/>
        </w:rPr>
        <w:t> </w:t>
      </w:r>
      <w:r>
        <w:rPr>
          <w:w w:val="105"/>
        </w:rPr>
        <w:t>pacing,</w:t>
      </w:r>
      <w:r>
        <w:rPr>
          <w:spacing w:val="-1"/>
          <w:w w:val="105"/>
        </w:rPr>
        <w:t> </w:t>
      </w:r>
      <w:r>
        <w:rPr>
          <w:w w:val="105"/>
        </w:rPr>
        <w:t>win-rate</w:t>
      </w:r>
      <w:r>
        <w:rPr>
          <w:spacing w:val="-1"/>
          <w:w w:val="105"/>
        </w:rPr>
        <w:t> </w:t>
      </w:r>
      <w:r>
        <w:rPr>
          <w:w w:val="105"/>
        </w:rPr>
        <w:t>trends,</w:t>
      </w:r>
      <w:r>
        <w:rPr>
          <w:spacing w:val="-1"/>
          <w:w w:val="105"/>
        </w:rPr>
        <w:t> </w:t>
      </w:r>
      <w:r>
        <w:rPr>
          <w:w w:val="105"/>
        </w:rPr>
        <w:t>and segment-level CAC payback.</w:t>
      </w:r>
    </w:p>
    <w:p>
      <w:pPr>
        <w:pStyle w:val="BodyText"/>
        <w:spacing w:line="273" w:lineRule="auto" w:before="91"/>
        <w:ind w:left="616" w:right="403"/>
      </w:pPr>
      <w:r>
        <w:rPr>
          <w:w w:val="105"/>
        </w:rPr>
        <w:t>Partner with RevOps on quota setting for 47 reps; modeled three comp plan scenarios that landed on a plan adopted for FY24.</w:t>
      </w:r>
    </w:p>
    <w:p>
      <w:pPr>
        <w:pStyle w:val="BodyText"/>
        <w:spacing w:line="273" w:lineRule="auto" w:before="90"/>
        <w:ind w:left="616" w:right="403"/>
      </w:pPr>
      <w:r>
        <w:rPr>
          <w:w w:val="105"/>
        </w:rPr>
        <w:t>Mentor</w:t>
      </w:r>
      <w:r>
        <w:rPr>
          <w:spacing w:val="-3"/>
          <w:w w:val="105"/>
        </w:rPr>
        <w:t> </w:t>
      </w:r>
      <w:r>
        <w:rPr>
          <w:w w:val="105"/>
        </w:rPr>
        <w:t>two</w:t>
      </w:r>
      <w:r>
        <w:rPr>
          <w:spacing w:val="-3"/>
          <w:w w:val="105"/>
        </w:rPr>
        <w:t> </w:t>
      </w:r>
      <w:r>
        <w:rPr>
          <w:w w:val="105"/>
        </w:rPr>
        <w:t>junior</w:t>
      </w:r>
      <w:r>
        <w:rPr>
          <w:spacing w:val="-3"/>
          <w:w w:val="105"/>
        </w:rPr>
        <w:t> </w:t>
      </w:r>
      <w:r>
        <w:rPr>
          <w:w w:val="105"/>
        </w:rPr>
        <w:t>analysts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model</w:t>
      </w:r>
      <w:r>
        <w:rPr>
          <w:spacing w:val="-3"/>
          <w:w w:val="105"/>
        </w:rPr>
        <w:t> </w:t>
      </w:r>
      <w:r>
        <w:rPr>
          <w:w w:val="105"/>
        </w:rPr>
        <w:t>structure,</w:t>
      </w:r>
      <w:r>
        <w:rPr>
          <w:spacing w:val="-3"/>
          <w:w w:val="105"/>
        </w:rPr>
        <w:t> </w:t>
      </w:r>
      <w:r>
        <w:rPr>
          <w:w w:val="105"/>
        </w:rPr>
        <w:t>peer</w:t>
      </w:r>
      <w:r>
        <w:rPr>
          <w:spacing w:val="-3"/>
          <w:w w:val="105"/>
        </w:rPr>
        <w:t> </w:t>
      </w:r>
      <w:r>
        <w:rPr>
          <w:w w:val="105"/>
        </w:rPr>
        <w:t>review,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stakeholder </w:t>
      </w:r>
      <w:r>
        <w:rPr>
          <w:spacing w:val="-2"/>
          <w:w w:val="105"/>
        </w:rPr>
        <w:t>communication.</w:t>
      </w:r>
    </w:p>
    <w:p>
      <w:pPr>
        <w:pStyle w:val="BodyText"/>
        <w:spacing w:before="68"/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Financial</w:t>
      </w:r>
      <w:r>
        <w:rPr>
          <w:spacing w:val="-4"/>
          <w:sz w:val="18"/>
        </w:rPr>
        <w:t> </w:t>
      </w:r>
      <w:r>
        <w:rPr>
          <w:sz w:val="18"/>
        </w:rPr>
        <w:t>Analyst</w:t>
      </w:r>
      <w:r>
        <w:rPr>
          <w:spacing w:val="8"/>
          <w:sz w:val="18"/>
        </w:rPr>
        <w:t> </w:t>
      </w:r>
      <w:r>
        <w:rPr>
          <w:sz w:val="18"/>
        </w:rPr>
        <w:t>|</w:t>
      </w:r>
      <w:r>
        <w:rPr>
          <w:spacing w:val="8"/>
          <w:sz w:val="18"/>
        </w:rPr>
        <w:t> </w:t>
      </w:r>
      <w:r>
        <w:rPr>
          <w:sz w:val="18"/>
        </w:rPr>
        <w:t>Northstar</w:t>
      </w:r>
      <w:r>
        <w:rPr>
          <w:spacing w:val="9"/>
          <w:sz w:val="18"/>
        </w:rPr>
        <w:t> </w:t>
      </w:r>
      <w:r>
        <w:rPr>
          <w:sz w:val="18"/>
        </w:rPr>
        <w:t>Outdoor</w:t>
      </w:r>
      <w:r>
        <w:rPr>
          <w:spacing w:val="8"/>
          <w:sz w:val="18"/>
        </w:rPr>
        <w:t> </w:t>
      </w:r>
      <w:r>
        <w:rPr>
          <w:sz w:val="18"/>
        </w:rPr>
        <w:t>Co.,</w:t>
      </w:r>
      <w:r>
        <w:rPr>
          <w:spacing w:val="8"/>
          <w:sz w:val="18"/>
        </w:rPr>
        <w:t> </w:t>
      </w:r>
      <w:r>
        <w:rPr>
          <w:sz w:val="18"/>
        </w:rPr>
        <w:t>Boulder,</w:t>
      </w:r>
      <w:r>
        <w:rPr>
          <w:spacing w:val="8"/>
          <w:sz w:val="18"/>
        </w:rPr>
        <w:t> </w:t>
      </w:r>
      <w:r>
        <w:rPr>
          <w:sz w:val="18"/>
        </w:rPr>
        <w:t>CO</w:t>
      </w:r>
      <w:r>
        <w:rPr>
          <w:spacing w:val="8"/>
          <w:sz w:val="18"/>
        </w:rPr>
        <w:t> </w:t>
      </w:r>
      <w:r>
        <w:rPr>
          <w:sz w:val="18"/>
        </w:rPr>
        <w:t>|</w:t>
      </w:r>
      <w:r>
        <w:rPr>
          <w:spacing w:val="8"/>
          <w:sz w:val="18"/>
        </w:rPr>
        <w:t> </w:t>
      </w:r>
      <w:r>
        <w:rPr>
          <w:sz w:val="18"/>
        </w:rPr>
        <w:t>2020</w:t>
      </w:r>
      <w:r>
        <w:rPr>
          <w:spacing w:val="8"/>
          <w:sz w:val="18"/>
        </w:rPr>
        <w:t> </w:t>
      </w:r>
      <w:r>
        <w:rPr>
          <w:sz w:val="18"/>
        </w:rPr>
        <w:t>–</w:t>
      </w:r>
      <w:r>
        <w:rPr>
          <w:spacing w:val="8"/>
          <w:sz w:val="18"/>
        </w:rPr>
        <w:t> </w:t>
      </w:r>
      <w:r>
        <w:rPr>
          <w:spacing w:val="-4"/>
          <w:sz w:val="18"/>
        </w:rPr>
        <w:t>2022</w:t>
      </w:r>
    </w:p>
    <w:p>
      <w:pPr>
        <w:pStyle w:val="BodyText"/>
        <w:spacing w:before="85"/>
        <w:rPr>
          <w:sz w:val="18"/>
        </w:rPr>
      </w:pPr>
    </w:p>
    <w:p>
      <w:pPr>
        <w:pStyle w:val="BodyText"/>
        <w:spacing w:line="273" w:lineRule="auto"/>
        <w:ind w:left="616" w:right="324"/>
      </w:pPr>
      <w:r>
        <w:rPr>
          <w:w w:val="105"/>
        </w:rPr>
        <w:t>Built the annual operating plan for the wholesale channel ($63M revenue) including SKU-level margin, freight, and trade spend.</w:t>
      </w:r>
    </w:p>
    <w:p>
      <w:pPr>
        <w:pStyle w:val="BodyText"/>
        <w:spacing w:line="273" w:lineRule="auto" w:before="91"/>
        <w:ind w:left="616" w:right="403"/>
      </w:pPr>
      <w:r>
        <w:rPr>
          <w:w w:val="105"/>
        </w:rPr>
        <w:t>Replaced a manual weekly sell-through report with a Power BI dashboard pulling from SAP and EDI feeds, freeing roughly six hours a week.</w:t>
      </w:r>
    </w:p>
    <w:p>
      <w:pPr>
        <w:pStyle w:val="BodyText"/>
        <w:spacing w:line="273" w:lineRule="auto" w:before="105"/>
        <w:ind w:left="616" w:right="403"/>
      </w:pPr>
      <w:r>
        <w:rPr>
          <w:w w:val="105"/>
        </w:rPr>
        <w:t>Led monthly close commentary for COGS and gross margin, escalating a freight contract issue that recovered about $180K in overbilled accessorials.</w:t>
      </w:r>
    </w:p>
    <w:p>
      <w:pPr>
        <w:pStyle w:val="BodyText"/>
        <w:spacing w:line="273" w:lineRule="auto" w:before="91"/>
        <w:ind w:left="616" w:right="324"/>
      </w:pPr>
      <w:r>
        <w:rPr>
          <w:w w:val="105"/>
        </w:rPr>
        <w:t>Supported the CFO on a $25M ABL reﬁnancing, including the lender model and quarterly compliance package.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60" w:bottom="280" w:left="425" w:right="425"/>
          <w:cols w:num="2" w:equalWidth="0">
            <w:col w:w="3177" w:space="748"/>
            <w:col w:w="7145"/>
          </w:cols>
        </w:sectPr>
      </w:pPr>
    </w:p>
    <w:p>
      <w:pPr>
        <w:pStyle w:val="BodyText"/>
        <w:spacing w:before="44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5550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10115550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7662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81952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705349"/>
                            <a:ext cx="47625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790700">
                                <a:moveTo>
                                  <a:pt x="47625" y="1763547"/>
                                </a:moveTo>
                                <a:lnTo>
                                  <a:pt x="27165" y="1743075"/>
                                </a:lnTo>
                                <a:lnTo>
                                  <a:pt x="20472" y="1743075"/>
                                </a:lnTo>
                                <a:lnTo>
                                  <a:pt x="0" y="1763547"/>
                                </a:lnTo>
                                <a:lnTo>
                                  <a:pt x="0" y="1767116"/>
                                </a:lnTo>
                                <a:lnTo>
                                  <a:pt x="0" y="1770240"/>
                                </a:lnTo>
                                <a:lnTo>
                                  <a:pt x="20472" y="1790700"/>
                                </a:lnTo>
                                <a:lnTo>
                                  <a:pt x="27165" y="1790700"/>
                                </a:lnTo>
                                <a:lnTo>
                                  <a:pt x="47625" y="1770240"/>
                                </a:lnTo>
                                <a:lnTo>
                                  <a:pt x="47625" y="1763547"/>
                                </a:lnTo>
                                <a:close/>
                              </a:path>
                              <a:path w="47625" h="1790700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47625" h="1790700">
                                <a:moveTo>
                                  <a:pt x="47625" y="1249197"/>
                                </a:moveTo>
                                <a:lnTo>
                                  <a:pt x="27165" y="1228725"/>
                                </a:lnTo>
                                <a:lnTo>
                                  <a:pt x="20472" y="1228725"/>
                                </a:lnTo>
                                <a:lnTo>
                                  <a:pt x="0" y="1249197"/>
                                </a:lnTo>
                                <a:lnTo>
                                  <a:pt x="0" y="1252766"/>
                                </a:lnTo>
                                <a:lnTo>
                                  <a:pt x="0" y="1255890"/>
                                </a:lnTo>
                                <a:lnTo>
                                  <a:pt x="20472" y="1276350"/>
                                </a:lnTo>
                                <a:lnTo>
                                  <a:pt x="27165" y="1276350"/>
                                </a:lnTo>
                                <a:lnTo>
                                  <a:pt x="47625" y="1255890"/>
                                </a:lnTo>
                                <a:lnTo>
                                  <a:pt x="47625" y="1249197"/>
                                </a:lnTo>
                                <a:close/>
                              </a:path>
                              <a:path w="47625" h="179070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1790700">
                                <a:moveTo>
                                  <a:pt x="47625" y="868197"/>
                                </a:moveTo>
                                <a:lnTo>
                                  <a:pt x="27165" y="847725"/>
                                </a:lnTo>
                                <a:lnTo>
                                  <a:pt x="20472" y="847725"/>
                                </a:lnTo>
                                <a:lnTo>
                                  <a:pt x="0" y="868197"/>
                                </a:lnTo>
                                <a:lnTo>
                                  <a:pt x="0" y="871766"/>
                                </a:lnTo>
                                <a:lnTo>
                                  <a:pt x="0" y="874890"/>
                                </a:lnTo>
                                <a:lnTo>
                                  <a:pt x="20472" y="895350"/>
                                </a:lnTo>
                                <a:lnTo>
                                  <a:pt x="27165" y="895350"/>
                                </a:lnTo>
                                <a:lnTo>
                                  <a:pt x="47625" y="874890"/>
                                </a:lnTo>
                                <a:lnTo>
                                  <a:pt x="47625" y="868197"/>
                                </a:lnTo>
                                <a:close/>
                              </a:path>
                              <a:path w="47625" h="1790700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179070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17907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943224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4019549"/>
                            <a:ext cx="47625" cy="461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619625">
                                <a:moveTo>
                                  <a:pt x="47625" y="4592472"/>
                                </a:moveTo>
                                <a:lnTo>
                                  <a:pt x="27165" y="4572000"/>
                                </a:lnTo>
                                <a:lnTo>
                                  <a:pt x="20472" y="4572000"/>
                                </a:lnTo>
                                <a:lnTo>
                                  <a:pt x="0" y="4592472"/>
                                </a:lnTo>
                                <a:lnTo>
                                  <a:pt x="0" y="4596041"/>
                                </a:lnTo>
                                <a:lnTo>
                                  <a:pt x="0" y="4599165"/>
                                </a:lnTo>
                                <a:lnTo>
                                  <a:pt x="20472" y="4619625"/>
                                </a:lnTo>
                                <a:lnTo>
                                  <a:pt x="27165" y="4619625"/>
                                </a:lnTo>
                                <a:lnTo>
                                  <a:pt x="47625" y="4599165"/>
                                </a:lnTo>
                                <a:lnTo>
                                  <a:pt x="47625" y="4592472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4268609"/>
                                </a:moveTo>
                                <a:lnTo>
                                  <a:pt x="27165" y="4248150"/>
                                </a:lnTo>
                                <a:lnTo>
                                  <a:pt x="20472" y="4248150"/>
                                </a:lnTo>
                                <a:lnTo>
                                  <a:pt x="0" y="4268609"/>
                                </a:lnTo>
                                <a:lnTo>
                                  <a:pt x="0" y="4272191"/>
                                </a:lnTo>
                                <a:lnTo>
                                  <a:pt x="0" y="4275315"/>
                                </a:lnTo>
                                <a:lnTo>
                                  <a:pt x="20472" y="4295775"/>
                                </a:lnTo>
                                <a:lnTo>
                                  <a:pt x="27165" y="4295775"/>
                                </a:lnTo>
                                <a:lnTo>
                                  <a:pt x="47625" y="4275315"/>
                                </a:lnTo>
                                <a:lnTo>
                                  <a:pt x="47625" y="4268609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3944772"/>
                                </a:moveTo>
                                <a:lnTo>
                                  <a:pt x="27165" y="3924300"/>
                                </a:lnTo>
                                <a:lnTo>
                                  <a:pt x="20472" y="3924300"/>
                                </a:lnTo>
                                <a:lnTo>
                                  <a:pt x="0" y="3944772"/>
                                </a:lnTo>
                                <a:lnTo>
                                  <a:pt x="0" y="3948341"/>
                                </a:lnTo>
                                <a:lnTo>
                                  <a:pt x="0" y="3951465"/>
                                </a:lnTo>
                                <a:lnTo>
                                  <a:pt x="20472" y="3971925"/>
                                </a:lnTo>
                                <a:lnTo>
                                  <a:pt x="27165" y="3971925"/>
                                </a:lnTo>
                                <a:lnTo>
                                  <a:pt x="47625" y="3951465"/>
                                </a:lnTo>
                                <a:lnTo>
                                  <a:pt x="47625" y="3944772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2725572"/>
                                </a:moveTo>
                                <a:lnTo>
                                  <a:pt x="27165" y="2705100"/>
                                </a:lnTo>
                                <a:lnTo>
                                  <a:pt x="20472" y="2705100"/>
                                </a:lnTo>
                                <a:lnTo>
                                  <a:pt x="0" y="2725572"/>
                                </a:lnTo>
                                <a:lnTo>
                                  <a:pt x="0" y="2729141"/>
                                </a:lnTo>
                                <a:lnTo>
                                  <a:pt x="0" y="2732265"/>
                                </a:lnTo>
                                <a:lnTo>
                                  <a:pt x="20472" y="2752725"/>
                                </a:lnTo>
                                <a:lnTo>
                                  <a:pt x="27165" y="2752725"/>
                                </a:lnTo>
                                <a:lnTo>
                                  <a:pt x="47625" y="2732265"/>
                                </a:lnTo>
                                <a:lnTo>
                                  <a:pt x="47625" y="2725572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677697"/>
                                </a:moveTo>
                                <a:lnTo>
                                  <a:pt x="27165" y="657225"/>
                                </a:lnTo>
                                <a:lnTo>
                                  <a:pt x="20472" y="657225"/>
                                </a:lnTo>
                                <a:lnTo>
                                  <a:pt x="0" y="677697"/>
                                </a:lnTo>
                                <a:lnTo>
                                  <a:pt x="0" y="681266"/>
                                </a:lnTo>
                                <a:lnTo>
                                  <a:pt x="0" y="684390"/>
                                </a:lnTo>
                                <a:lnTo>
                                  <a:pt x="20472" y="704850"/>
                                </a:lnTo>
                                <a:lnTo>
                                  <a:pt x="27165" y="704850"/>
                                </a:lnTo>
                                <a:lnTo>
                                  <a:pt x="47625" y="684390"/>
                                </a:lnTo>
                                <a:lnTo>
                                  <a:pt x="47625" y="67769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78816" id="docshapegroup1" coordorigin="0,0" coordsize="11415,16860">
                <v:shape style="position:absolute;left:0;top:0;width:4095;height:16860" id="docshape2" coordorigin="0,0" coordsize="4095,16860" path="m4095,0l0,0,0,15930,0,16860,4095,16860,4095,15930,4095,0xe" filled="true" fillcolor="#664ea6" stroked="false">
                  <v:path arrowok="t"/>
                  <v:fill opacity="32899f"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75;width:275;height:317" type="#_x0000_t75" id="docshape5" stroked="false">
                  <v:imagedata r:id="rId8" o:title=""/>
                </v:shape>
                <v:shape style="position:absolute;left:781;top:6015;width:315;height:317" type="#_x0000_t75" id="docshape6" stroked="false">
                  <v:imagedata r:id="rId9" o:title=""/>
                </v:shape>
                <v:shape style="position:absolute;left:779;top:7410;width:75;height:2820" id="docshape7" coordorigin="780,7410" coordsize="75,2820" path="m855,10187l854,10182,850,10173,848,10169,841,10162,837,10160,828,10156,823,10155,812,10155,807,10156,798,10160,794,10162,787,10169,785,10173,781,10182,780,10187,780,10193,780,10198,781,10203,785,10212,787,10216,794,10223,798,10225,807,10229,812,10230,823,10230,828,10229,837,10225,841,10223,848,10216,850,10212,854,10203,855,10198,855,10187xm855,9677l854,9672,850,9663,848,9659,841,9652,837,9650,828,9646,823,9645,812,9645,807,9646,798,9650,794,9652,787,9659,785,9663,781,9672,780,9677,780,9683,780,9688,781,9693,785,9702,787,9706,794,9713,798,9715,807,9719,812,9720,823,9720,828,9719,837,9715,841,9713,848,9706,850,9702,854,9693,855,9688,855,9677xm855,9377l854,9372,850,9363,848,9359,841,9352,837,9350,828,9346,823,9345,812,9345,807,9346,798,9350,794,9352,787,9359,785,9363,781,9372,780,9377,780,9383,780,9388,781,9393,785,9402,787,9406,794,9413,798,9415,807,9419,812,9420,823,9420,828,9419,837,9415,841,9413,848,9406,850,9402,854,9393,855,9388,855,9377xm855,9077l854,9072,850,9063,848,9059,841,9052,837,9050,828,9046,823,9045,812,9045,807,9046,798,9050,794,9052,787,9059,785,9063,781,9072,780,9077,780,9083,780,9088,781,9093,785,9102,787,9106,794,9113,798,9115,807,9119,812,9120,823,9120,828,9119,837,9115,841,9113,848,9106,850,9102,854,9093,855,9088,855,9077xm855,8777l854,8772,850,8763,848,8759,841,8752,837,8750,828,8746,823,8745,812,8745,807,8746,798,8750,794,8752,787,8759,785,8763,781,8772,780,8777,780,8783,780,8788,781,8793,785,8802,787,8806,794,8813,798,8815,807,8819,812,8820,823,8820,828,8819,837,8815,841,8813,848,8806,850,8802,854,8793,855,8788,855,8777xm855,8462l854,8457,850,8448,848,8444,841,8437,837,8435,828,8431,823,8430,812,8430,807,8431,798,8435,794,8437,787,8444,785,8448,781,8457,780,8462,780,8468,780,8473,781,8478,785,8487,787,8491,794,8498,798,8500,807,8504,812,8505,823,8505,828,8504,837,8500,841,8498,848,8491,850,8487,854,8478,855,8473,855,8462xm855,7952l854,7947,850,7938,848,7934,841,7927,837,7925,828,7921,823,7920,812,7920,807,7921,798,7925,794,7927,787,7934,785,7938,781,7947,780,7952,780,7958,780,7963,781,7968,785,7977,787,7981,794,7988,798,7990,807,7994,812,7995,823,7995,828,7994,837,7990,841,7988,848,7981,850,7977,854,7968,855,7963,855,7952xm855,7442l854,7437,850,7428,848,7424,841,7417,837,7415,828,7411,823,7410,812,7410,807,7411,798,7415,794,7417,787,7424,785,7428,781,7437,780,7442,780,7448,780,7453,781,7458,785,7467,787,7471,794,7478,798,7480,807,7484,812,7485,823,7485,828,7484,837,7480,841,7478,848,7471,850,7467,854,7458,855,7453,855,7442xe" filled="true" fillcolor="#000000" stroked="false">
                  <v:path arrowok="t"/>
                  <v:fill type="solid"/>
                </v:shape>
                <v:rect style="position:absolute;left:4095;top:4635;width:7320;height:30" id="docshape8" filled="true" fillcolor="#664ea6" stroked="false">
                  <v:fill type="solid"/>
                </v:rect>
                <v:shape style="position:absolute;left:4664;top:6330;width:75;height:7275" id="docshape9" coordorigin="4665,6330" coordsize="75,7275" path="m4740,13562l4739,13557,4735,13548,4733,13544,4726,13537,4722,13535,4713,13531,4708,13530,4697,13530,4692,13531,4683,13535,4679,13537,4672,13544,4670,13548,4666,13557,4665,13562,4665,13568,4665,13573,4666,13578,4670,13587,4672,13591,4679,13598,4683,13600,4692,13604,4697,13605,4708,13605,4713,13604,4722,13600,4726,13598,4733,13591,4735,13587,4739,13578,4740,13573,4740,13562xm4740,13052l4739,13047,4735,13038,4733,13034,4726,13027,4722,13025,4713,13021,4708,13020,4697,13020,4692,13021,4683,13025,4679,13027,4672,13034,4670,13038,4666,13047,4665,13052,4665,13058,4665,13063,4666,13068,4670,13077,4672,13081,4679,13088,4683,13090,4692,13094,4697,13095,4708,13095,4713,13094,4722,13090,4726,13088,4733,13081,4735,13077,4739,13068,4740,13063,4740,13052xm4740,12542l4739,12537,4735,12528,4733,12524,4726,12517,4722,12515,4713,12511,4708,12510,4697,12510,4692,12511,4683,12515,4679,12517,4672,12524,4670,12528,4666,12537,4665,12542,4665,12548,4665,12553,4666,12558,4670,12567,4672,12571,4679,12578,4683,12580,4692,12584,4697,12585,4708,12585,4713,12584,4722,12580,4726,12578,4733,12571,4735,12567,4739,12558,4740,12553,4740,12542xm4740,11132l4739,11127,4735,11118,4733,11114,4726,11107,4722,11105,4713,11101,4708,11100,4697,11100,4692,11101,4683,11105,4679,11107,4672,11114,4670,11118,4666,11127,4665,11132,4665,11138,4665,11143,4666,11148,4670,11157,4672,11161,4679,11168,4683,11170,4692,11174,4697,11175,4708,11175,4713,11174,4722,11170,4726,11168,4733,11161,4735,11157,4739,11148,4740,11143,4740,11132xm4740,10622l4739,10617,4735,10608,4733,10604,4726,10597,4722,10595,4713,10591,4708,10590,4697,10590,4692,10591,4683,10595,4679,10597,4672,10604,4670,10608,4666,10617,4665,10622,4665,10628,4665,10633,4666,10638,4670,10647,4672,10651,4679,10658,4683,10660,4692,10664,4697,10665,4708,10665,4713,10664,4722,10660,4726,10658,4733,10651,4735,10647,4739,10638,4740,10633,4740,10622xm4740,10097l4739,10092,4735,10083,4733,10079,4726,10072,4722,10070,4713,10066,4708,10065,4697,10065,4692,10066,4683,10070,4679,10072,4672,10079,4670,10083,4666,10092,4665,10097,4665,10103,4665,10108,4666,10113,4670,10122,4672,10126,4679,10133,4683,10135,4692,10139,4697,10140,4708,10140,4713,10139,4722,10135,4726,10133,4733,10126,4735,10122,4739,10113,4740,10108,4740,10097xm4740,9587l4739,9582,4735,9573,4733,9569,4726,9562,4722,9560,4713,9556,4708,9555,4697,9555,4692,9556,4683,9560,4679,9562,4672,9569,4670,9573,4666,9582,4665,9587,4665,9593,4665,9598,4666,9603,4670,9612,4672,9616,4679,9623,4683,9625,4692,9629,4697,9630,4708,9630,4713,9629,4722,9625,4726,9623,4733,9616,4735,9612,4739,9603,4740,9598,4740,9587xm4740,8417l4739,8412,4735,8403,4733,8399,4726,8392,4722,8390,4713,8386,4708,8385,4697,8385,4692,8386,4683,8390,4679,8392,4672,8399,4670,8403,4666,8412,4665,8417,4665,8423,4665,8428,4666,8433,4670,8442,4672,8446,4679,8453,4683,8455,4692,8459,4697,8460,4708,8460,4713,8459,4722,8455,4726,8453,4733,8446,4735,8442,4739,8433,4740,8428,4740,8417xm4740,7907l4739,7902,4735,7893,4733,7889,4726,7882,4722,7880,4713,7876,4708,7875,4697,7875,4692,7876,4683,7880,4679,7882,4672,7889,4670,7893,4666,7902,4665,7907,4665,7913,4665,7918,4666,7923,4670,7932,4672,7936,4679,7943,4683,7945,4692,7949,4697,7950,4708,7950,4713,7949,4722,7945,4726,7943,4733,7936,4735,7932,4739,7923,4740,7918,4740,7907xm4740,7397l4739,7392,4735,7383,4733,7379,4726,7372,4722,7370,4713,7366,4708,7365,4697,7365,4692,7366,4683,7370,4679,7372,4672,7379,4670,7383,4666,7392,4665,7397,4665,7403,4665,7408,4666,7413,4670,7422,4672,7426,4679,7433,4683,7435,4692,7439,4697,7440,4708,7440,4713,7439,4722,7435,4726,7433,4733,7426,4735,7422,4739,7413,4740,7408,4740,7397xm4740,6872l4739,6867,4735,6858,4733,6854,4726,6847,4722,6845,4713,6841,4708,6840,4697,6840,4692,6841,4683,6845,4679,6847,4672,6854,4670,6858,4666,6867,4665,6872,4665,6878,4665,6883,4666,6888,4670,6897,4672,6901,4679,6908,4683,6910,4692,6914,4697,6915,4708,6915,4713,6914,4722,6910,4726,6908,4733,6901,4735,6897,4739,6888,4740,6883,4740,6872xm4740,6362l4739,6357,4735,6348,4733,6344,4726,6337,4722,6335,4713,6331,4708,6330,4697,6330,4692,6331,4683,6335,4679,6337,4672,6344,4670,6348,4666,6357,4665,6362,4665,6368,4665,6373,4666,6378,4670,6387,4672,6391,4679,6398,4683,6400,4692,6404,4697,6405,4708,6405,4713,6404,4722,6400,4726,6398,4733,6391,4735,6387,4739,6378,4740,6373,4740,636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78" w:lineRule="auto" w:before="0"/>
        <w:ind w:left="4001" w:right="412" w:firstLine="0"/>
        <w:jc w:val="left"/>
        <w:rPr>
          <w:sz w:val="18"/>
        </w:rPr>
      </w:pPr>
      <w:r>
        <w:rPr>
          <w:w w:val="105"/>
          <w:sz w:val="18"/>
        </w:rPr>
        <w:t>Financial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Analyst,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Rotational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Program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Cardinal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Mutual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Insurance,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Hartford,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 2019 – 2020</w:t>
      </w:r>
    </w:p>
    <w:p>
      <w:pPr>
        <w:pStyle w:val="BodyText"/>
        <w:spacing w:before="75"/>
      </w:pPr>
    </w:p>
    <w:p>
      <w:pPr>
        <w:pStyle w:val="BodyText"/>
        <w:spacing w:line="273" w:lineRule="auto"/>
        <w:ind w:left="4540" w:right="412"/>
      </w:pPr>
      <w:r>
        <w:rPr>
          <w:w w:val="105"/>
        </w:rPr>
        <w:t>Completed rotations in corporate FP&amp;A, investment accounting, and actuarial </w:t>
      </w:r>
      <w:r>
        <w:rPr>
          <w:spacing w:val="-2"/>
          <w:w w:val="105"/>
        </w:rPr>
        <w:t>ﬁnance.</w:t>
      </w:r>
    </w:p>
    <w:p>
      <w:pPr>
        <w:pStyle w:val="BodyText"/>
        <w:spacing w:line="273" w:lineRule="auto" w:before="90"/>
        <w:ind w:left="4540" w:right="412"/>
      </w:pPr>
      <w:r>
        <w:rPr>
          <w:w w:val="105"/>
        </w:rPr>
        <w:t>Reconciled monthly invested asset balances against the custodian feed for a portfolio above $4B.</w:t>
      </w:r>
    </w:p>
    <w:p>
      <w:pPr>
        <w:pStyle w:val="BodyText"/>
        <w:spacing w:before="91"/>
        <w:ind w:left="4540"/>
      </w:pPr>
      <w:r>
        <w:rPr>
          <w:w w:val="105"/>
        </w:rPr>
        <w:t>Drafted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variance</w:t>
      </w:r>
      <w:r>
        <w:rPr>
          <w:spacing w:val="-1"/>
          <w:w w:val="105"/>
        </w:rPr>
        <w:t> </w:t>
      </w:r>
      <w:r>
        <w:rPr>
          <w:w w:val="105"/>
        </w:rPr>
        <w:t>narrative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quarterly</w:t>
      </w:r>
      <w:r>
        <w:rPr>
          <w:spacing w:val="-2"/>
          <w:w w:val="105"/>
        </w:rPr>
        <w:t> </w:t>
      </w:r>
      <w:r>
        <w:rPr>
          <w:w w:val="105"/>
        </w:rPr>
        <w:t>board</w:t>
      </w:r>
      <w:r>
        <w:rPr>
          <w:spacing w:val="-1"/>
          <w:w w:val="105"/>
        </w:rPr>
        <w:t> </w:t>
      </w:r>
      <w:r>
        <w:rPr>
          <w:w w:val="105"/>
        </w:rPr>
        <w:t>package</w:t>
      </w:r>
      <w:r>
        <w:rPr>
          <w:spacing w:val="-2"/>
          <w:w w:val="105"/>
        </w:rPr>
        <w:t> </w:t>
      </w:r>
      <w:r>
        <w:rPr>
          <w:w w:val="105"/>
        </w:rPr>
        <w:t>under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Controller.</w:t>
      </w:r>
    </w:p>
    <w:p>
      <w:pPr>
        <w:pStyle w:val="Heading2"/>
        <w:spacing w:before="292"/>
        <w:ind w:left="0" w:right="1534"/>
        <w:jc w:val="center"/>
      </w:pPr>
      <w:r>
        <w:rPr>
          <w:color w:val="664EA6"/>
          <w:spacing w:val="-2"/>
        </w:rPr>
        <w:t>EDUCATION</w:t>
      </w:r>
    </w:p>
    <w:p>
      <w:pPr>
        <w:pStyle w:val="BodyText"/>
        <w:spacing w:before="94"/>
        <w:rPr>
          <w:b/>
          <w:sz w:val="18"/>
        </w:rPr>
      </w:pPr>
    </w:p>
    <w:p>
      <w:pPr>
        <w:spacing w:line="573" w:lineRule="auto" w:before="0"/>
        <w:ind w:left="4001" w:right="1630" w:firstLine="0"/>
        <w:jc w:val="left"/>
        <w:rPr>
          <w:sz w:val="18"/>
        </w:rPr>
      </w:pPr>
      <w:r>
        <w:rPr>
          <w:w w:val="105"/>
          <w:sz w:val="18"/>
        </w:rPr>
        <w:t>B.S.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Finance,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North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Carolina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Chapel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Hill,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2019 CFA Level II Candidate (June 2025)</w:t>
      </w:r>
    </w:p>
    <w:sectPr>
      <w:type w:val="continuous"/>
      <w:pgSz w:w="11920" w:h="16860"/>
      <w:pgMar w:top="8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419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swamy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2026-07-20T12:09:22Z</dcterms:created>
  <dcterms:modified xsi:type="dcterms:W3CDTF">2026-07-20T12:09:22Z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