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4035" w:right="0" w:firstLine="0"/>
        <w:jc w:val="center"/>
        <w:rPr>
          <w:sz w:val="83"/>
        </w:rPr>
      </w:pPr>
      <w:r>
        <w:rPr>
          <w:color w:val="724177"/>
          <w:sz w:val="83"/>
        </w:rPr>
        <w:t>Susan</w:t>
      </w:r>
      <w:r>
        <w:rPr>
          <w:color w:val="724177"/>
          <w:spacing w:val="-2"/>
          <w:sz w:val="83"/>
        </w:rPr>
        <w:t> </w:t>
      </w:r>
      <w:r>
        <w:rPr>
          <w:color w:val="646464"/>
          <w:spacing w:val="-2"/>
          <w:sz w:val="83"/>
        </w:rPr>
        <w:t>Moore</w:t>
      </w:r>
    </w:p>
    <w:p>
      <w:pPr>
        <w:spacing w:before="161"/>
        <w:ind w:left="4035" w:right="0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741610</wp:posOffset>
                </wp:positionH>
                <wp:positionV relativeFrom="paragraph">
                  <wp:posOffset>69599</wp:posOffset>
                </wp:positionV>
                <wp:extent cx="797560" cy="53149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797560" cy="531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2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83"/>
                              </w:rPr>
                            </w:pPr>
                            <w:r>
                              <w:rPr>
                                <w:b/>
                                <w:color w:val="724177"/>
                                <w:spacing w:val="-5"/>
                                <w:sz w:val="83"/>
                              </w:rPr>
                              <w:t>SM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8.394527pt;margin-top:5.480252pt;width:62.8pt;height:41.8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820" w:lineRule="exact" w:before="0"/>
                        <w:ind w:left="0" w:right="0" w:firstLine="0"/>
                        <w:jc w:val="left"/>
                        <w:rPr>
                          <w:b/>
                          <w:sz w:val="83"/>
                        </w:rPr>
                      </w:pPr>
                      <w:r>
                        <w:rPr>
                          <w:b/>
                          <w:color w:val="724177"/>
                          <w:spacing w:val="-5"/>
                          <w:sz w:val="83"/>
                        </w:rPr>
                        <w:t>SM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24177"/>
          <w:sz w:val="20"/>
        </w:rPr>
        <w:t>Investment</w:t>
      </w:r>
      <w:r>
        <w:rPr>
          <w:color w:val="724177"/>
          <w:spacing w:val="11"/>
          <w:sz w:val="20"/>
        </w:rPr>
        <w:t> </w:t>
      </w:r>
      <w:r>
        <w:rPr>
          <w:color w:val="724177"/>
          <w:spacing w:val="-2"/>
          <w:sz w:val="20"/>
        </w:rPr>
        <w:t>Banking</w:t>
      </w:r>
    </w:p>
    <w:p>
      <w:pPr>
        <w:pStyle w:val="BodyText"/>
        <w:spacing w:before="125"/>
        <w:ind w:left="0" w:firstLine="0"/>
        <w:rPr>
          <w:sz w:val="20"/>
        </w:rPr>
      </w:pPr>
    </w:p>
    <w:p>
      <w:pPr>
        <w:spacing w:line="292" w:lineRule="auto" w:before="0"/>
        <w:ind w:left="4038" w:right="205" w:hanging="1"/>
        <w:jc w:val="center"/>
        <w:rPr>
          <w:sz w:val="20"/>
        </w:rPr>
      </w:pPr>
      <w:r>
        <w:rPr>
          <w:color w:val="FFFFFF"/>
          <w:sz w:val="20"/>
        </w:rPr>
        <w:t>Vice President in Consumer &amp; Retail Investment Banking with 9 years of execution experience and a growing book of sponsor and founder-led clients. Closed 28 transactions totaling $7.8B in enterprise value, with a focus on consumer brands, restaurants, and specialty retail.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59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425"/>
        </w:sectPr>
      </w:pPr>
    </w:p>
    <w:p>
      <w:pPr>
        <w:pStyle w:val="BodyText"/>
        <w:spacing w:before="175"/>
        <w:ind w:left="0" w:firstLine="0"/>
        <w:rPr>
          <w:sz w:val="24"/>
        </w:rPr>
      </w:pPr>
    </w:p>
    <w:p>
      <w:pPr>
        <w:pStyle w:val="Heading1"/>
        <w:spacing w:line="261" w:lineRule="auto"/>
        <w:ind w:right="38"/>
      </w:pPr>
      <w:r>
        <w:rPr>
          <w:color w:val="724177"/>
          <w:spacing w:val="-2"/>
        </w:rPr>
        <w:t>CONTACT INFORMATION</w:t>
      </w:r>
    </w:p>
    <w:p>
      <w:pPr>
        <w:spacing w:before="61"/>
        <w:ind w:left="108" w:right="0" w:firstLine="0"/>
        <w:jc w:val="left"/>
        <w:rPr>
          <w:sz w:val="24"/>
        </w:rPr>
      </w:pPr>
      <w:r>
        <w:rPr/>
        <w:br w:type="column"/>
      </w:r>
      <w:r>
        <w:rPr>
          <w:color w:val="724177"/>
          <w:spacing w:val="-2"/>
          <w:sz w:val="24"/>
        </w:rPr>
        <w:t>PROFESSIONAL</w:t>
      </w:r>
      <w:r>
        <w:rPr>
          <w:color w:val="724177"/>
          <w:spacing w:val="4"/>
          <w:sz w:val="24"/>
        </w:rPr>
        <w:t> </w:t>
      </w:r>
      <w:r>
        <w:rPr>
          <w:color w:val="724177"/>
          <w:spacing w:val="-2"/>
          <w:sz w:val="24"/>
        </w:rPr>
        <w:t>EXPERIENCE</w:t>
      </w:r>
    </w:p>
    <w:p>
      <w:pPr>
        <w:spacing w:line="266" w:lineRule="auto" w:before="167"/>
        <w:ind w:left="108" w:right="171" w:firstLine="0"/>
        <w:jc w:val="left"/>
        <w:rPr>
          <w:sz w:val="20"/>
        </w:rPr>
      </w:pPr>
      <w:r>
        <w:rPr>
          <w:sz w:val="20"/>
        </w:rPr>
        <w:t>Vice President, Consumer &amp; Retail M&amp;A </w:t>
      </w:r>
      <w:r>
        <w:rPr>
          <w:color w:val="134E5C"/>
          <w:sz w:val="20"/>
        </w:rPr>
        <w:t>| Ashford Quinn Advisors, Chicago,</w:t>
      </w:r>
      <w:r>
        <w:rPr>
          <w:color w:val="134E5C"/>
          <w:spacing w:val="40"/>
          <w:sz w:val="20"/>
        </w:rPr>
        <w:t> </w:t>
      </w:r>
      <w:r>
        <w:rPr>
          <w:color w:val="134E5C"/>
          <w:spacing w:val="-6"/>
          <w:sz w:val="20"/>
        </w:rPr>
        <w:t>IL</w:t>
      </w:r>
    </w:p>
    <w:p>
      <w:pPr>
        <w:pStyle w:val="BodyText"/>
        <w:spacing w:before="3"/>
        <w:ind w:left="108" w:firstLine="0"/>
      </w:pPr>
      <w:r>
        <w:rPr>
          <w:color w:val="134E5C"/>
          <w:w w:val="105"/>
        </w:rPr>
        <w:t>2021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425"/>
          <w:cols w:num="2" w:equalWidth="0">
            <w:col w:w="1823" w:space="2195"/>
            <w:col w:w="7194"/>
          </w:cols>
        </w:sectPr>
      </w:pPr>
    </w:p>
    <w:p>
      <w:pPr>
        <w:spacing w:before="29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(312)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0166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daniel.okafor@exampl e.com</w:t>
      </w:r>
    </w:p>
    <w:p>
      <w:pPr>
        <w:spacing w:before="150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Chicago,</w:t>
      </w:r>
      <w:r>
        <w:rPr>
          <w:color w:val="134E5C"/>
          <w:spacing w:val="6"/>
          <w:sz w:val="20"/>
        </w:rPr>
        <w:t> </w:t>
      </w:r>
      <w:r>
        <w:rPr>
          <w:color w:val="134E5C"/>
          <w:sz w:val="20"/>
        </w:rPr>
        <w:t>IL</w:t>
      </w:r>
      <w:r>
        <w:rPr>
          <w:color w:val="134E5C"/>
          <w:spacing w:val="-1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157"/>
        <w:ind w:left="0" w:firstLine="0"/>
        <w:rPr>
          <w:sz w:val="20"/>
        </w:rPr>
      </w:pPr>
    </w:p>
    <w:p>
      <w:pPr>
        <w:pStyle w:val="Heading1"/>
      </w:pPr>
      <w:r>
        <w:rPr>
          <w:color w:val="724177"/>
        </w:rPr>
        <w:t>KEY</w:t>
      </w:r>
      <w:r>
        <w:rPr>
          <w:color w:val="724177"/>
          <w:spacing w:val="-6"/>
        </w:rPr>
        <w:t> </w:t>
      </w:r>
      <w:r>
        <w:rPr>
          <w:color w:val="724177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153" w:after="0"/>
        <w:ind w:left="406" w:right="536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Lead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day-to-day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execution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sell-side,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buy-side,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recap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mandates ranging from $150M to $1.6B in transaction value.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104" w:after="0"/>
        <w:ind w:left="406" w:right="320" w:hanging="298"/>
        <w:jc w:val="left"/>
        <w:rPr>
          <w:sz w:val="18"/>
        </w:rPr>
      </w:pPr>
      <w:r>
        <w:rPr>
          <w:color w:val="134E5C"/>
          <w:w w:val="105"/>
          <w:sz w:val="18"/>
        </w:rPr>
        <w:t>Sourced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co-led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$310M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sell-side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DTC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apparel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brand,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ﬁrm's largest founder-led consumer mandate of 2023.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78" w:lineRule="auto" w:before="104" w:after="0"/>
        <w:ind w:left="406" w:right="78" w:hanging="298"/>
        <w:jc w:val="left"/>
        <w:rPr>
          <w:sz w:val="18"/>
        </w:rPr>
      </w:pPr>
      <w:r>
        <w:rPr>
          <w:color w:val="134E5C"/>
          <w:w w:val="105"/>
          <w:sz w:val="18"/>
        </w:rPr>
        <w:t>Manage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stafﬁng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review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team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3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associates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7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analysts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across 6 to 9 live mandates at any time.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90" w:after="0"/>
        <w:ind w:left="406" w:right="361" w:hanging="298"/>
        <w:jc w:val="left"/>
        <w:rPr>
          <w:sz w:val="18"/>
        </w:rPr>
      </w:pPr>
      <w:r>
        <w:rPr>
          <w:color w:val="134E5C"/>
          <w:w w:val="105"/>
          <w:sz w:val="18"/>
        </w:rPr>
        <w:t>Built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consumer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sponsor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coverage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relationships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18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middle-market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PE ﬁrms, generating $4M in fees from repeat mandates over two years.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425"/>
          <w:cols w:num="2" w:equalWidth="0">
            <w:col w:w="2818" w:space="1553"/>
            <w:col w:w="6841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48" w:after="0"/>
        <w:ind w:left="591" w:right="38" w:hanging="298"/>
        <w:jc w:val="left"/>
        <w:rPr>
          <w:sz w:val="18"/>
        </w:rPr>
      </w:pPr>
      <w:r>
        <w:rPr>
          <w:color w:val="134E5C"/>
          <w:w w:val="105"/>
          <w:sz w:val="18"/>
        </w:rPr>
        <w:t>Sell-side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buy-side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M&amp;A </w:t>
      </w:r>
      <w:r>
        <w:rPr>
          <w:color w:val="134E5C"/>
          <w:spacing w:val="-2"/>
          <w:w w:val="105"/>
          <w:sz w:val="18"/>
        </w:rPr>
        <w:t>execution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3" w:after="0"/>
        <w:ind w:left="591" w:right="426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Present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quarterly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market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updates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deal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pipeline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reviews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group head and divisional CFO.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425"/>
          <w:cols w:num="2" w:equalWidth="0">
            <w:col w:w="2946" w:space="1239"/>
            <w:col w:w="7027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313" w:hanging="298"/>
        <w:jc w:val="left"/>
        <w:rPr>
          <w:sz w:val="18"/>
        </w:rPr>
      </w:pPr>
      <w:r>
        <w:rPr>
          <w:color w:val="134E5C"/>
          <w:w w:val="105"/>
          <w:sz w:val="18"/>
        </w:rPr>
        <w:t>LBO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modeling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returns </w:t>
      </w:r>
      <w:r>
        <w:rPr>
          <w:color w:val="134E5C"/>
          <w:spacing w:val="-2"/>
          <w:w w:val="105"/>
          <w:sz w:val="18"/>
        </w:rPr>
        <w:t>analysis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8" w:lineRule="auto" w:before="80" w:after="0"/>
        <w:ind w:left="591" w:right="38" w:hanging="298"/>
        <w:jc w:val="left"/>
        <w:rPr>
          <w:sz w:val="18"/>
        </w:rPr>
      </w:pPr>
      <w:r>
        <w:rPr>
          <w:color w:val="134E5C"/>
          <w:spacing w:val="-2"/>
          <w:w w:val="105"/>
          <w:position w:val="1"/>
          <w:sz w:val="18"/>
        </w:rPr>
        <w:t>DCF,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comparable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companies, </w:t>
      </w:r>
      <w:r>
        <w:rPr>
          <w:color w:val="134E5C"/>
          <w:w w:val="105"/>
          <w:sz w:val="18"/>
        </w:rPr>
        <w:t>and precedent transactions </w:t>
      </w:r>
      <w:r>
        <w:rPr>
          <w:color w:val="134E5C"/>
          <w:spacing w:val="-2"/>
          <w:w w:val="105"/>
          <w:sz w:val="18"/>
        </w:rPr>
        <w:t>valuation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89" w:after="0"/>
        <w:ind w:left="591" w:right="265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Consumer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retail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sector </w:t>
      </w:r>
      <w:r>
        <w:rPr>
          <w:color w:val="134E5C"/>
          <w:spacing w:val="-2"/>
          <w:w w:val="105"/>
          <w:sz w:val="18"/>
        </w:rPr>
        <w:t>coverage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4" w:after="0"/>
        <w:ind w:left="591" w:right="409" w:hanging="298"/>
        <w:jc w:val="left"/>
        <w:rPr>
          <w:sz w:val="18"/>
        </w:rPr>
      </w:pPr>
      <w:r>
        <w:rPr>
          <w:color w:val="134E5C"/>
          <w:w w:val="105"/>
          <w:sz w:val="18"/>
        </w:rPr>
        <w:t>Sponsor coverage and </w:t>
      </w:r>
      <w:r>
        <w:rPr>
          <w:color w:val="134E5C"/>
          <w:spacing w:val="-2"/>
          <w:w w:val="105"/>
          <w:sz w:val="18"/>
        </w:rPr>
        <w:t>relationship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management</w:t>
      </w:r>
    </w:p>
    <w:p>
      <w:pPr>
        <w:spacing w:line="266" w:lineRule="auto" w:before="100"/>
        <w:ind w:left="29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Associate, Consumer Investment Banking </w:t>
      </w:r>
      <w:r>
        <w:rPr>
          <w:color w:val="134E5C"/>
          <w:sz w:val="20"/>
        </w:rPr>
        <w:t>| Bayard Holt &amp; Partners, New York, </w:t>
      </w:r>
      <w:r>
        <w:rPr>
          <w:color w:val="134E5C"/>
          <w:spacing w:val="-6"/>
          <w:sz w:val="20"/>
        </w:rPr>
        <w:t>NY</w:t>
      </w:r>
    </w:p>
    <w:p>
      <w:pPr>
        <w:pStyle w:val="BodyText"/>
        <w:spacing w:before="4"/>
        <w:ind w:left="294" w:firstLine="0"/>
      </w:pPr>
      <w:r>
        <w:rPr>
          <w:color w:val="134E5C"/>
          <w:w w:val="105"/>
        </w:rPr>
        <w:t>2017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2021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78" w:lineRule="auto" w:before="138" w:after="0"/>
        <w:ind w:left="945" w:right="47" w:hanging="298"/>
        <w:jc w:val="left"/>
        <w:rPr>
          <w:sz w:val="18"/>
        </w:rPr>
      </w:pPr>
      <w:r>
        <w:rPr>
          <w:color w:val="134E5C"/>
          <w:w w:val="105"/>
          <w:sz w:val="18"/>
        </w:rPr>
        <w:t>Executed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14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closed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transactions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including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4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IPOs,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6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sell-sides,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$720M strategic combination of two omnichannel retailers.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61" w:lineRule="auto" w:before="89" w:after="0"/>
        <w:ind w:left="945" w:right="37" w:hanging="298"/>
        <w:jc w:val="left"/>
        <w:rPr>
          <w:sz w:val="18"/>
        </w:rPr>
      </w:pPr>
      <w:r>
        <w:rPr>
          <w:color w:val="134E5C"/>
          <w:w w:val="105"/>
          <w:sz w:val="18"/>
        </w:rPr>
        <w:t>Coordinated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cross-border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diligence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$290M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acquisition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UK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personal care company by a US strategic.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78" w:lineRule="auto" w:before="104" w:after="0"/>
        <w:ind w:left="945" w:right="119" w:hanging="298"/>
        <w:jc w:val="left"/>
        <w:rPr>
          <w:sz w:val="18"/>
        </w:rPr>
      </w:pPr>
      <w:r>
        <w:rPr>
          <w:color w:val="134E5C"/>
          <w:w w:val="105"/>
          <w:sz w:val="18"/>
        </w:rPr>
        <w:t>Promoted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senior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associate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three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years,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ahead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standard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four-year </w:t>
      </w:r>
      <w:r>
        <w:rPr>
          <w:color w:val="134E5C"/>
          <w:spacing w:val="-2"/>
          <w:w w:val="105"/>
          <w:sz w:val="18"/>
        </w:rPr>
        <w:t>track.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425"/>
          <w:cols w:num="2" w:equalWidth="0">
            <w:col w:w="3108" w:space="724"/>
            <w:col w:w="7380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5" w:after="0"/>
        <w:ind w:left="591" w:right="272" w:hanging="298"/>
        <w:jc w:val="left"/>
        <w:rPr>
          <w:sz w:val="18"/>
        </w:rPr>
      </w:pPr>
      <w:r>
        <w:rPr>
          <w:color w:val="134E5C"/>
          <w:w w:val="105"/>
          <w:sz w:val="18"/>
        </w:rPr>
        <w:t>Pitch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development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CIM </w:t>
      </w:r>
      <w:r>
        <w:rPr>
          <w:color w:val="134E5C"/>
          <w:spacing w:val="-2"/>
          <w:w w:val="105"/>
          <w:sz w:val="18"/>
        </w:rPr>
        <w:t>drafting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80" w:after="0"/>
        <w:ind w:left="591" w:right="38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Management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presentation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 </w:t>
      </w:r>
      <w:r>
        <w:rPr>
          <w:color w:val="134E5C"/>
          <w:w w:val="105"/>
          <w:sz w:val="18"/>
        </w:rPr>
        <w:t>roadshow preparation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8" w:lineRule="auto" w:before="104" w:after="0"/>
        <w:ind w:left="591" w:right="337" w:hanging="298"/>
        <w:jc w:val="both"/>
        <w:rPr>
          <w:sz w:val="18"/>
        </w:rPr>
      </w:pPr>
      <w:r>
        <w:rPr>
          <w:color w:val="134E5C"/>
          <w:w w:val="105"/>
          <w:sz w:val="18"/>
        </w:rPr>
        <w:t>Due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diligence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coordination across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legal,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tax,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QofE </w:t>
      </w:r>
      <w:r>
        <w:rPr>
          <w:color w:val="134E5C"/>
          <w:spacing w:val="-2"/>
          <w:w w:val="105"/>
          <w:sz w:val="18"/>
        </w:rPr>
        <w:t>workstreams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20" w:lineRule="atLeast" w:before="49" w:after="0"/>
        <w:ind w:left="591" w:right="38" w:hanging="298"/>
        <w:jc w:val="both"/>
        <w:rPr>
          <w:sz w:val="18"/>
        </w:rPr>
      </w:pPr>
      <w:r>
        <w:rPr>
          <w:color w:val="134E5C"/>
          <w:w w:val="105"/>
          <w:sz w:val="18"/>
        </w:rPr>
        <w:t>Deal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stafﬁng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junior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banker </w:t>
      </w:r>
      <w:r>
        <w:rPr>
          <w:color w:val="134E5C"/>
          <w:spacing w:val="-2"/>
          <w:w w:val="105"/>
          <w:sz w:val="18"/>
        </w:rPr>
        <w:t>development</w:t>
      </w:r>
    </w:p>
    <w:p>
      <w:pPr>
        <w:spacing w:before="116"/>
        <w:ind w:left="29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Investment</w:t>
      </w:r>
      <w:r>
        <w:rPr>
          <w:spacing w:val="3"/>
          <w:sz w:val="20"/>
        </w:rPr>
        <w:t> </w:t>
      </w:r>
      <w:r>
        <w:rPr>
          <w:sz w:val="20"/>
        </w:rPr>
        <w:t>Banking</w:t>
      </w:r>
      <w:r>
        <w:rPr>
          <w:spacing w:val="-9"/>
          <w:sz w:val="20"/>
        </w:rPr>
        <w:t> </w:t>
      </w:r>
      <w:r>
        <w:rPr>
          <w:sz w:val="20"/>
        </w:rPr>
        <w:t>Analyst</w:t>
      </w:r>
      <w:r>
        <w:rPr>
          <w:spacing w:val="3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4"/>
          <w:sz w:val="20"/>
        </w:rPr>
        <w:t> </w:t>
      </w:r>
      <w:r>
        <w:rPr>
          <w:color w:val="134E5C"/>
          <w:sz w:val="20"/>
        </w:rPr>
        <w:t>Bayard</w:t>
      </w:r>
      <w:r>
        <w:rPr>
          <w:color w:val="134E5C"/>
          <w:spacing w:val="3"/>
          <w:sz w:val="20"/>
        </w:rPr>
        <w:t> </w:t>
      </w:r>
      <w:r>
        <w:rPr>
          <w:color w:val="134E5C"/>
          <w:sz w:val="20"/>
        </w:rPr>
        <w:t>Holt</w:t>
      </w:r>
      <w:r>
        <w:rPr>
          <w:color w:val="134E5C"/>
          <w:spacing w:val="3"/>
          <w:sz w:val="20"/>
        </w:rPr>
        <w:t> </w:t>
      </w:r>
      <w:r>
        <w:rPr>
          <w:color w:val="134E5C"/>
          <w:sz w:val="20"/>
        </w:rPr>
        <w:t>&amp;</w:t>
      </w:r>
      <w:r>
        <w:rPr>
          <w:color w:val="134E5C"/>
          <w:spacing w:val="4"/>
          <w:sz w:val="20"/>
        </w:rPr>
        <w:t> </w:t>
      </w:r>
      <w:r>
        <w:rPr>
          <w:color w:val="134E5C"/>
          <w:sz w:val="20"/>
        </w:rPr>
        <w:t>Partners,</w:t>
      </w:r>
      <w:r>
        <w:rPr>
          <w:color w:val="134E5C"/>
          <w:spacing w:val="3"/>
          <w:sz w:val="20"/>
        </w:rPr>
        <w:t> </w:t>
      </w:r>
      <w:r>
        <w:rPr>
          <w:color w:val="134E5C"/>
          <w:sz w:val="20"/>
        </w:rPr>
        <w:t>New</w:t>
      </w:r>
      <w:r>
        <w:rPr>
          <w:color w:val="134E5C"/>
          <w:spacing w:val="4"/>
          <w:sz w:val="20"/>
        </w:rPr>
        <w:t> </w:t>
      </w:r>
      <w:r>
        <w:rPr>
          <w:color w:val="134E5C"/>
          <w:sz w:val="20"/>
        </w:rPr>
        <w:t>York,</w:t>
      </w:r>
      <w:r>
        <w:rPr>
          <w:color w:val="134E5C"/>
          <w:spacing w:val="3"/>
          <w:sz w:val="20"/>
        </w:rPr>
        <w:t> </w:t>
      </w:r>
      <w:r>
        <w:rPr>
          <w:color w:val="134E5C"/>
          <w:spacing w:val="-5"/>
          <w:sz w:val="20"/>
        </w:rPr>
        <w:t>NY</w:t>
      </w:r>
    </w:p>
    <w:p>
      <w:pPr>
        <w:pStyle w:val="BodyText"/>
        <w:spacing w:before="29"/>
        <w:ind w:left="294" w:firstLine="0"/>
      </w:pPr>
      <w:r>
        <w:rPr>
          <w:color w:val="134E5C"/>
          <w:w w:val="105"/>
        </w:rPr>
        <w:t>2015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2017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78" w:lineRule="auto" w:before="138" w:after="0"/>
        <w:ind w:left="945" w:right="490" w:hanging="298"/>
        <w:jc w:val="left"/>
        <w:rPr>
          <w:sz w:val="18"/>
        </w:rPr>
      </w:pPr>
      <w:r>
        <w:rPr>
          <w:color w:val="134E5C"/>
          <w:w w:val="105"/>
          <w:sz w:val="18"/>
        </w:rPr>
        <w:t>Two-year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analyst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stint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Consumer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&amp;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Retail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group;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placed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top quartile of the analyst class both years.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61" w:lineRule="auto" w:before="80" w:after="0"/>
        <w:ind w:left="945" w:right="530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Built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operating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models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worked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on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the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group's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ﬁrst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major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restaurant </w:t>
      </w:r>
      <w:r>
        <w:rPr>
          <w:color w:val="134E5C"/>
          <w:w w:val="105"/>
          <w:sz w:val="18"/>
        </w:rPr>
        <w:t>franchise LBO.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40" w:lineRule="auto" w:before="104" w:after="0"/>
        <w:ind w:left="945" w:right="0" w:hanging="298"/>
        <w:jc w:val="left"/>
        <w:rPr>
          <w:sz w:val="18"/>
        </w:rPr>
      </w:pPr>
      <w:r>
        <w:rPr>
          <w:color w:val="134E5C"/>
          <w:w w:val="105"/>
          <w:sz w:val="18"/>
        </w:rPr>
        <w:t>Selected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ﬁrm's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Analyst-to-Associate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direct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promote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program.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425"/>
          <w:cols w:num="2" w:equalWidth="0">
            <w:col w:w="3181" w:space="651"/>
            <w:col w:w="7380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65" w:after="0"/>
        <w:ind w:left="591" w:right="193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438400"/>
                                </a:moveTo>
                                <a:lnTo>
                                  <a:pt x="0" y="2438400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438400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466975" cy="9791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9791700">
                                <a:moveTo>
                                  <a:pt x="2466974" y="9791699"/>
                                </a:moveTo>
                                <a:lnTo>
                                  <a:pt x="0" y="979169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9791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80987" y="557212"/>
                            <a:ext cx="172402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1733550">
                                <a:moveTo>
                                  <a:pt x="0" y="871537"/>
                                </a:moveTo>
                                <a:lnTo>
                                  <a:pt x="0" y="862012"/>
                                </a:lnTo>
                                <a:lnTo>
                                  <a:pt x="64" y="851433"/>
                                </a:lnTo>
                                <a:lnTo>
                                  <a:pt x="1622" y="809152"/>
                                </a:lnTo>
                                <a:lnTo>
                                  <a:pt x="5252" y="766998"/>
                                </a:lnTo>
                                <a:lnTo>
                                  <a:pt x="10946" y="725074"/>
                                </a:lnTo>
                                <a:lnTo>
                                  <a:pt x="18690" y="683479"/>
                                </a:lnTo>
                                <a:lnTo>
                                  <a:pt x="28466" y="642314"/>
                                </a:lnTo>
                                <a:lnTo>
                                  <a:pt x="40250" y="601678"/>
                                </a:lnTo>
                                <a:lnTo>
                                  <a:pt x="54014" y="561670"/>
                                </a:lnTo>
                                <a:lnTo>
                                  <a:pt x="69725" y="522385"/>
                                </a:lnTo>
                                <a:lnTo>
                                  <a:pt x="87344" y="483919"/>
                                </a:lnTo>
                                <a:lnTo>
                                  <a:pt x="106829" y="446363"/>
                                </a:lnTo>
                                <a:lnTo>
                                  <a:pt x="128134" y="409808"/>
                                </a:lnTo>
                                <a:lnTo>
                                  <a:pt x="151206" y="374343"/>
                                </a:lnTo>
                                <a:lnTo>
                                  <a:pt x="175991" y="340053"/>
                                </a:lnTo>
                                <a:lnTo>
                                  <a:pt x="202429" y="307021"/>
                                </a:lnTo>
                                <a:lnTo>
                                  <a:pt x="230455" y="275325"/>
                                </a:lnTo>
                                <a:lnTo>
                                  <a:pt x="260003" y="245042"/>
                                </a:lnTo>
                                <a:lnTo>
                                  <a:pt x="291002" y="216246"/>
                                </a:lnTo>
                                <a:lnTo>
                                  <a:pt x="323376" y="189006"/>
                                </a:lnTo>
                                <a:lnTo>
                                  <a:pt x="357047" y="163387"/>
                                </a:lnTo>
                                <a:lnTo>
                                  <a:pt x="391936" y="139451"/>
                                </a:lnTo>
                                <a:lnTo>
                                  <a:pt x="427956" y="117256"/>
                                </a:lnTo>
                                <a:lnTo>
                                  <a:pt x="465023" y="96855"/>
                                </a:lnTo>
                                <a:lnTo>
                                  <a:pt x="503045" y="78297"/>
                                </a:lnTo>
                                <a:lnTo>
                                  <a:pt x="541933" y="61628"/>
                                </a:lnTo>
                                <a:lnTo>
                                  <a:pt x="581591" y="46886"/>
                                </a:lnTo>
                                <a:lnTo>
                                  <a:pt x="621925" y="34109"/>
                                </a:lnTo>
                                <a:lnTo>
                                  <a:pt x="662838" y="23325"/>
                                </a:lnTo>
                                <a:lnTo>
                                  <a:pt x="704230" y="14563"/>
                                </a:lnTo>
                                <a:lnTo>
                                  <a:pt x="746002" y="7841"/>
                                </a:lnTo>
                                <a:lnTo>
                                  <a:pt x="788054" y="3178"/>
                                </a:lnTo>
                                <a:lnTo>
                                  <a:pt x="830284" y="584"/>
                                </a:lnTo>
                                <a:lnTo>
                                  <a:pt x="862012" y="0"/>
                                </a:lnTo>
                                <a:lnTo>
                                  <a:pt x="872591" y="64"/>
                                </a:lnTo>
                                <a:lnTo>
                                  <a:pt x="914872" y="1622"/>
                                </a:lnTo>
                                <a:lnTo>
                                  <a:pt x="957026" y="5252"/>
                                </a:lnTo>
                                <a:lnTo>
                                  <a:pt x="998950" y="10946"/>
                                </a:lnTo>
                                <a:lnTo>
                                  <a:pt x="1040545" y="18690"/>
                                </a:lnTo>
                                <a:lnTo>
                                  <a:pt x="1081710" y="28466"/>
                                </a:lnTo>
                                <a:lnTo>
                                  <a:pt x="1122346" y="40250"/>
                                </a:lnTo>
                                <a:lnTo>
                                  <a:pt x="1162354" y="54014"/>
                                </a:lnTo>
                                <a:lnTo>
                                  <a:pt x="1201639" y="69725"/>
                                </a:lnTo>
                                <a:lnTo>
                                  <a:pt x="1240105" y="87344"/>
                                </a:lnTo>
                                <a:lnTo>
                                  <a:pt x="1277661" y="106829"/>
                                </a:lnTo>
                                <a:lnTo>
                                  <a:pt x="1314215" y="128133"/>
                                </a:lnTo>
                                <a:lnTo>
                                  <a:pt x="1349680" y="151206"/>
                                </a:lnTo>
                                <a:lnTo>
                                  <a:pt x="1383970" y="175991"/>
                                </a:lnTo>
                                <a:lnTo>
                                  <a:pt x="1417003" y="202429"/>
                                </a:lnTo>
                                <a:lnTo>
                                  <a:pt x="1448699" y="230455"/>
                                </a:lnTo>
                                <a:lnTo>
                                  <a:pt x="1478981" y="260003"/>
                                </a:lnTo>
                                <a:lnTo>
                                  <a:pt x="1507777" y="291002"/>
                                </a:lnTo>
                                <a:lnTo>
                                  <a:pt x="1535018" y="323376"/>
                                </a:lnTo>
                                <a:lnTo>
                                  <a:pt x="1560636" y="357048"/>
                                </a:lnTo>
                                <a:lnTo>
                                  <a:pt x="1584572" y="391936"/>
                                </a:lnTo>
                                <a:lnTo>
                                  <a:pt x="1606767" y="427956"/>
                                </a:lnTo>
                                <a:lnTo>
                                  <a:pt x="1627169" y="465023"/>
                                </a:lnTo>
                                <a:lnTo>
                                  <a:pt x="1645726" y="503045"/>
                                </a:lnTo>
                                <a:lnTo>
                                  <a:pt x="1662396" y="541933"/>
                                </a:lnTo>
                                <a:lnTo>
                                  <a:pt x="1677137" y="581591"/>
                                </a:lnTo>
                                <a:lnTo>
                                  <a:pt x="1689915" y="621925"/>
                                </a:lnTo>
                                <a:lnTo>
                                  <a:pt x="1700698" y="662838"/>
                                </a:lnTo>
                                <a:lnTo>
                                  <a:pt x="1709461" y="704230"/>
                                </a:lnTo>
                                <a:lnTo>
                                  <a:pt x="1716182" y="746002"/>
                                </a:lnTo>
                                <a:lnTo>
                                  <a:pt x="1720846" y="788054"/>
                                </a:lnTo>
                                <a:lnTo>
                                  <a:pt x="1723440" y="830284"/>
                                </a:lnTo>
                                <a:lnTo>
                                  <a:pt x="1724024" y="862012"/>
                                </a:lnTo>
                                <a:lnTo>
                                  <a:pt x="1724024" y="871537"/>
                                </a:lnTo>
                                <a:lnTo>
                                  <a:pt x="1722986" y="913834"/>
                                </a:lnTo>
                                <a:lnTo>
                                  <a:pt x="1719873" y="956029"/>
                                </a:lnTo>
                                <a:lnTo>
                                  <a:pt x="1714694" y="998020"/>
                                </a:lnTo>
                                <a:lnTo>
                                  <a:pt x="1707461" y="1039707"/>
                                </a:lnTo>
                                <a:lnTo>
                                  <a:pt x="1698191" y="1080989"/>
                                </a:lnTo>
                                <a:lnTo>
                                  <a:pt x="1686906" y="1121766"/>
                                </a:lnTo>
                                <a:lnTo>
                                  <a:pt x="1673634" y="1161940"/>
                                </a:lnTo>
                                <a:lnTo>
                                  <a:pt x="1658407" y="1201414"/>
                                </a:lnTo>
                                <a:lnTo>
                                  <a:pt x="1641262" y="1240094"/>
                                </a:lnTo>
                                <a:lnTo>
                                  <a:pt x="1622239" y="1277887"/>
                                </a:lnTo>
                                <a:lnTo>
                                  <a:pt x="1601384" y="1314700"/>
                                </a:lnTo>
                                <a:lnTo>
                                  <a:pt x="1578749" y="1350445"/>
                                </a:lnTo>
                                <a:lnTo>
                                  <a:pt x="1554387" y="1385037"/>
                                </a:lnTo>
                                <a:lnTo>
                                  <a:pt x="1528356" y="1418392"/>
                                </a:lnTo>
                                <a:lnTo>
                                  <a:pt x="1500721" y="1450429"/>
                                </a:lnTo>
                                <a:lnTo>
                                  <a:pt x="1471547" y="1481072"/>
                                </a:lnTo>
                                <a:lnTo>
                                  <a:pt x="1440904" y="1510246"/>
                                </a:lnTo>
                                <a:lnTo>
                                  <a:pt x="1408867" y="1537881"/>
                                </a:lnTo>
                                <a:lnTo>
                                  <a:pt x="1375512" y="1563912"/>
                                </a:lnTo>
                                <a:lnTo>
                                  <a:pt x="1340920" y="1588274"/>
                                </a:lnTo>
                                <a:lnTo>
                                  <a:pt x="1305175" y="1610909"/>
                                </a:lnTo>
                                <a:lnTo>
                                  <a:pt x="1268362" y="1631764"/>
                                </a:lnTo>
                                <a:lnTo>
                                  <a:pt x="1230569" y="1650787"/>
                                </a:lnTo>
                                <a:lnTo>
                                  <a:pt x="1191890" y="1667932"/>
                                </a:lnTo>
                                <a:lnTo>
                                  <a:pt x="1152415" y="1683159"/>
                                </a:lnTo>
                                <a:lnTo>
                                  <a:pt x="1112241" y="1696431"/>
                                </a:lnTo>
                                <a:lnTo>
                                  <a:pt x="1071464" y="1707716"/>
                                </a:lnTo>
                                <a:lnTo>
                                  <a:pt x="1030182" y="1716986"/>
                                </a:lnTo>
                                <a:lnTo>
                                  <a:pt x="988495" y="1724219"/>
                                </a:lnTo>
                                <a:lnTo>
                                  <a:pt x="946504" y="1729398"/>
                                </a:lnTo>
                                <a:lnTo>
                                  <a:pt x="904309" y="1732511"/>
                                </a:lnTo>
                                <a:lnTo>
                                  <a:pt x="862012" y="1733549"/>
                                </a:lnTo>
                                <a:lnTo>
                                  <a:pt x="851433" y="1733484"/>
                                </a:lnTo>
                                <a:lnTo>
                                  <a:pt x="809152" y="1731927"/>
                                </a:lnTo>
                                <a:lnTo>
                                  <a:pt x="766998" y="1728297"/>
                                </a:lnTo>
                                <a:lnTo>
                                  <a:pt x="725073" y="1722603"/>
                                </a:lnTo>
                                <a:lnTo>
                                  <a:pt x="683478" y="1714858"/>
                                </a:lnTo>
                                <a:lnTo>
                                  <a:pt x="642314" y="1705082"/>
                                </a:lnTo>
                                <a:lnTo>
                                  <a:pt x="601678" y="1693298"/>
                                </a:lnTo>
                                <a:lnTo>
                                  <a:pt x="561670" y="1679534"/>
                                </a:lnTo>
                                <a:lnTo>
                                  <a:pt x="522385" y="1663824"/>
                                </a:lnTo>
                                <a:lnTo>
                                  <a:pt x="483919" y="1646205"/>
                                </a:lnTo>
                                <a:lnTo>
                                  <a:pt x="446363" y="1626720"/>
                                </a:lnTo>
                                <a:lnTo>
                                  <a:pt x="409808" y="1605415"/>
                                </a:lnTo>
                                <a:lnTo>
                                  <a:pt x="374343" y="1582342"/>
                                </a:lnTo>
                                <a:lnTo>
                                  <a:pt x="340053" y="1557558"/>
                                </a:lnTo>
                                <a:lnTo>
                                  <a:pt x="307020" y="1531120"/>
                                </a:lnTo>
                                <a:lnTo>
                                  <a:pt x="275325" y="1503093"/>
                                </a:lnTo>
                                <a:lnTo>
                                  <a:pt x="245042" y="1473545"/>
                                </a:lnTo>
                                <a:lnTo>
                                  <a:pt x="216246" y="1442547"/>
                                </a:lnTo>
                                <a:lnTo>
                                  <a:pt x="189006" y="1410173"/>
                                </a:lnTo>
                                <a:lnTo>
                                  <a:pt x="163387" y="1376501"/>
                                </a:lnTo>
                                <a:lnTo>
                                  <a:pt x="139451" y="1341613"/>
                                </a:lnTo>
                                <a:lnTo>
                                  <a:pt x="117256" y="1305592"/>
                                </a:lnTo>
                                <a:lnTo>
                                  <a:pt x="96855" y="1268526"/>
                                </a:lnTo>
                                <a:lnTo>
                                  <a:pt x="78297" y="1230503"/>
                                </a:lnTo>
                                <a:lnTo>
                                  <a:pt x="61628" y="1191616"/>
                                </a:lnTo>
                                <a:lnTo>
                                  <a:pt x="46886" y="1151957"/>
                                </a:lnTo>
                                <a:lnTo>
                                  <a:pt x="34109" y="1111623"/>
                                </a:lnTo>
                                <a:lnTo>
                                  <a:pt x="23325" y="1070711"/>
                                </a:lnTo>
                                <a:lnTo>
                                  <a:pt x="14563" y="1029319"/>
                                </a:lnTo>
                                <a:lnTo>
                                  <a:pt x="7841" y="987546"/>
                                </a:lnTo>
                                <a:lnTo>
                                  <a:pt x="3178" y="945494"/>
                                </a:lnTo>
                                <a:lnTo>
                                  <a:pt x="584" y="903264"/>
                                </a:lnTo>
                                <a:lnTo>
                                  <a:pt x="0" y="87153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134E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162174" y="1447800"/>
                            <a:ext cx="540639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990600">
                                <a:moveTo>
                                  <a:pt x="5406008" y="990599"/>
                                </a:moveTo>
                                <a:lnTo>
                                  <a:pt x="0" y="990599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99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41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162174" y="2438399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0352" id="docshapegroup2" coordorigin="0,0" coordsize="11919,16858">
                <v:shape style="position:absolute;left:3899;top:0;width:8019;height:16858" id="docshape3" coordorigin="3900,0" coordsize="8019,16858" path="m11918,3840l3900,3840,3900,16858,11918,16858,11918,3840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5420" id="docshape4" filled="true" fillcolor="#ffffff" stroked="false">
                  <v:fill type="solid"/>
                </v:rect>
                <v:shape style="position:absolute;left:442;top:877;width:2715;height:2730" id="docshape5" coordorigin="442,878" coordsize="2715,2730" path="m442,2250l442,2235,443,2218,445,2152,451,2085,460,2019,472,1954,487,1889,506,1825,528,1762,552,1700,580,1640,611,1580,644,1523,681,1467,720,1413,761,1361,805,1311,852,1263,901,1218,952,1175,1005,1135,1060,1097,1116,1062,1175,1030,1235,1001,1296,975,1358,951,1422,931,1486,914,1552,900,1617,890,1684,883,1750,878,1800,878,1817,878,1883,880,1950,886,2016,895,2081,907,2146,922,2210,941,2273,963,2335,987,2395,1015,2455,1046,2512,1079,2568,1116,2622,1155,2674,1196,2724,1240,2772,1287,2817,1336,2860,1387,2900,1440,2938,1495,2973,1551,3005,1610,3034,1670,3060,1731,3084,1793,3104,1857,3121,1921,3135,1987,3145,2052,3152,2119,3157,2185,3157,2235,3157,2250,3156,2317,3151,2383,3143,2449,3131,2515,3117,2580,3099,2644,3078,2707,3054,2769,3027,2830,2997,2890,2964,2948,2929,3004,2890,3059,2849,3111,2806,3162,2760,3210,2712,3256,2661,3299,2609,3340,2554,3379,2498,3414,2440,3447,2380,3477,2319,3504,2257,3528,2194,3549,2130,3567,2065,3581,1999,3593,1933,3601,1867,3606,1800,3607,1783,3607,1717,3605,1650,3599,1584,3590,1519,3578,1454,3563,1390,3544,1327,3522,1265,3498,1205,3470,1145,3439,1088,3406,1032,3369,978,3330,926,3289,876,3245,828,3198,783,3149,740,3098,700,3045,662,2990,627,2934,595,2875,566,2815,540,2754,516,2692,496,2628,479,2564,465,2498,455,2433,448,2366,443,2300,442,2250xe" filled="false" stroked="true" strokeweight=".75pt" strokecolor="#134e5c">
                  <v:path arrowok="t"/>
                  <v:stroke dashstyle="solid"/>
                </v:shape>
                <v:shape style="position:absolute;left:585;top:5325;width:317;height:317" type="#_x0000_t75" id="docshape6" stroked="false">
                  <v:imagedata r:id="rId5" o:title=""/>
                </v:shape>
                <v:shape style="position:absolute;left:605;top:5865;width:275;height:317" type="#_x0000_t75" id="docshape7" stroked="false">
                  <v:imagedata r:id="rId6" o:title=""/>
                </v:shape>
                <v:shape style="position:absolute;left:585;top:6411;width:317;height:274" type="#_x0000_t75" id="docshape8" stroked="false">
                  <v:imagedata r:id="rId7" o:title=""/>
                </v:shape>
                <v:rect style="position:absolute;left:3405;top:2280;width:8514;height:1560" id="docshape9" filled="true" fillcolor="#724177" stroked="false">
                  <v:fill type="solid"/>
                </v:rect>
                <v:shape style="position:absolute;left:3405;top:3840;width:480;height:600" id="docshape10" coordorigin="3405,3840" coordsize="480,600" path="m3885,4440l3405,3840,3885,3840,3885,4440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w w:val="105"/>
          <w:sz w:val="18"/>
        </w:rPr>
        <w:t>Fairness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opinions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board-level advisory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90" w:after="0"/>
        <w:ind w:left="591" w:right="651" w:hanging="298"/>
        <w:jc w:val="left"/>
        <w:rPr>
          <w:sz w:val="18"/>
        </w:rPr>
      </w:pPr>
      <w:r>
        <w:rPr>
          <w:color w:val="134E5C"/>
          <w:w w:val="105"/>
          <w:sz w:val="18"/>
        </w:rPr>
        <w:t>Capital structure and recapitalization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strategy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FactSet,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CapIQ, and PitchBook</w:t>
      </w:r>
    </w:p>
    <w:p>
      <w:pPr>
        <w:pStyle w:val="Heading1"/>
        <w:spacing w:line="205" w:lineRule="exact"/>
        <w:ind w:left="294"/>
      </w:pPr>
      <w:r>
        <w:rPr/>
        <w:br w:type="column"/>
      </w:r>
      <w:r>
        <w:rPr>
          <w:color w:val="724177"/>
          <w:spacing w:val="-2"/>
        </w:rPr>
        <w:t>EDUCATION</w:t>
      </w:r>
    </w:p>
    <w:p>
      <w:pPr>
        <w:spacing w:line="266" w:lineRule="auto" w:before="166"/>
        <w:ind w:left="294" w:right="0" w:firstLine="0"/>
        <w:jc w:val="left"/>
        <w:rPr>
          <w:sz w:val="20"/>
        </w:rPr>
      </w:pPr>
      <w:r>
        <w:rPr>
          <w:sz w:val="20"/>
        </w:rPr>
        <w:t>MBA, Finance and Strategy, University of Chicago Booth School of Business, </w:t>
      </w:r>
      <w:r>
        <w:rPr>
          <w:spacing w:val="-4"/>
          <w:sz w:val="20"/>
        </w:rPr>
        <w:t>2021</w:t>
      </w:r>
    </w:p>
    <w:p>
      <w:pPr>
        <w:spacing w:line="391" w:lineRule="auto" w:before="135"/>
        <w:ind w:left="294" w:right="0" w:firstLine="0"/>
        <w:jc w:val="left"/>
        <w:rPr>
          <w:sz w:val="20"/>
        </w:rPr>
      </w:pPr>
      <w:r>
        <w:rPr>
          <w:sz w:val="20"/>
        </w:rPr>
        <w:t>BS, Finance, cum laude, Indiana University Kelley School of Business, 2015 Series 79 and Series 63, FINRA</w:t>
      </w:r>
    </w:p>
    <w:sectPr>
      <w:type w:val="continuous"/>
      <w:pgSz w:w="11920" w:h="16860"/>
      <w:pgMar w:top="780" w:bottom="280" w:left="283" w:right="425"/>
      <w:cols w:num="2" w:equalWidth="0">
        <w:col w:w="3225" w:space="606"/>
        <w:col w:w="73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6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45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4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24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53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835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right="3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2026-07-08T05:44:59Z</dcterms:created>
  <dcterms:modified xsi:type="dcterms:W3CDTF">2026-07-08T05:44:59Z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