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42"/>
        <w:rPr>
          <w:rFonts w:ascii="Times New Roman"/>
          <w:sz w:val="74"/>
        </w:rPr>
      </w:pPr>
    </w:p>
    <w:p>
      <w:pPr>
        <w:spacing w:before="0"/>
        <w:ind w:left="4415" w:right="0" w:firstLine="0"/>
        <w:jc w:val="left"/>
        <w:rPr>
          <w:sz w:val="74"/>
        </w:rPr>
      </w:pPr>
      <w:r>
        <w:rPr>
          <w:sz w:val="74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533399</wp:posOffset>
                </wp:positionH>
                <wp:positionV relativeFrom="paragraph">
                  <wp:posOffset>-578185</wp:posOffset>
                </wp:positionV>
                <wp:extent cx="1533525" cy="1562100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1533525" cy="1562100"/>
                        </a:xfrm>
                        <a:prstGeom prst="rect">
                          <a:avLst/>
                        </a:prstGeom>
                        <a:solidFill>
                          <a:srgbClr val="FAE4CC"/>
                        </a:solidFill>
                      </wps:spPr>
                      <wps:txbx>
                        <w:txbxContent>
                          <w:p>
                            <w:pPr>
                              <w:spacing w:before="731"/>
                              <w:ind w:left="689" w:right="0" w:firstLine="0"/>
                              <w:jc w:val="left"/>
                              <w:rPr>
                                <w:b/>
                                <w:color w:val="000000"/>
                                <w:sz w:val="74"/>
                              </w:rPr>
                            </w:pPr>
                            <w:r>
                              <w:rPr>
                                <w:b/>
                                <w:color w:val="17A8E3"/>
                                <w:spacing w:val="-5"/>
                                <w:sz w:val="74"/>
                              </w:rPr>
                              <w:t>RP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41.999996pt;margin-top:-45.526386pt;width:120.75pt;height:123pt;mso-position-horizontal-relative:page;mso-position-vertical-relative:paragraph;z-index:15729152" type="#_x0000_t202" id="docshape1" filled="true" fillcolor="#fae4cc" stroked="false">
                <v:textbox inset="0,0,0,0">
                  <w:txbxContent>
                    <w:p>
                      <w:pPr>
                        <w:spacing w:before="731"/>
                        <w:ind w:left="689" w:right="0" w:firstLine="0"/>
                        <w:jc w:val="left"/>
                        <w:rPr>
                          <w:b/>
                          <w:color w:val="000000"/>
                          <w:sz w:val="74"/>
                        </w:rPr>
                      </w:pPr>
                      <w:r>
                        <w:rPr>
                          <w:b/>
                          <w:color w:val="17A8E3"/>
                          <w:spacing w:val="-5"/>
                          <w:sz w:val="74"/>
                        </w:rPr>
                        <w:t>RP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b/>
          <w:color w:val="FFFFFF"/>
          <w:spacing w:val="12"/>
          <w:sz w:val="74"/>
        </w:rPr>
        <w:t>Rebecca</w:t>
      </w:r>
      <w:r>
        <w:rPr>
          <w:b/>
          <w:color w:val="FFFFFF"/>
          <w:spacing w:val="31"/>
          <w:sz w:val="74"/>
        </w:rPr>
        <w:t> </w:t>
      </w:r>
      <w:r>
        <w:rPr>
          <w:color w:val="FFFFFF"/>
          <w:spacing w:val="10"/>
          <w:sz w:val="74"/>
        </w:rPr>
        <w:t>Phillips</w:t>
      </w:r>
    </w:p>
    <w:p>
      <w:pPr>
        <w:pStyle w:val="Heading2"/>
      </w:pPr>
      <w:r>
        <w:rPr>
          <w:color w:val="FFFFFF"/>
          <w:spacing w:val="12"/>
          <w:w w:val="105"/>
        </w:rPr>
        <w:t>Financial</w:t>
      </w:r>
      <w:r>
        <w:rPr>
          <w:color w:val="FFFFFF"/>
          <w:spacing w:val="9"/>
          <w:w w:val="105"/>
        </w:rPr>
        <w:t> </w:t>
      </w:r>
      <w:r>
        <w:rPr>
          <w:color w:val="FFFFFF"/>
          <w:spacing w:val="10"/>
          <w:w w:val="105"/>
        </w:rPr>
        <w:t>Advisor</w:t>
      </w:r>
    </w:p>
    <w:p>
      <w:pPr>
        <w:pStyle w:val="BodyText"/>
        <w:spacing w:before="21"/>
        <w:rPr>
          <w:b/>
        </w:rPr>
      </w:pPr>
    </w:p>
    <w:p>
      <w:pPr>
        <w:pStyle w:val="BodyText"/>
        <w:spacing w:line="266" w:lineRule="auto"/>
        <w:ind w:left="4415"/>
      </w:pPr>
      <w:r>
        <w:rPr>
          <w:color w:val="FFFFFF"/>
          <w:w w:val="105"/>
        </w:rPr>
        <w:t>Advisor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holding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the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Certiﬁed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Financial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Planner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credential,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managing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118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client households</w:t>
      </w:r>
      <w:r>
        <w:rPr>
          <w:color w:val="FFFFFF"/>
          <w:spacing w:val="-6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6"/>
          <w:w w:val="105"/>
        </w:rPr>
        <w:t> </w:t>
      </w:r>
      <w:r>
        <w:rPr>
          <w:color w:val="FFFFFF"/>
          <w:w w:val="105"/>
        </w:rPr>
        <w:t>$63M</w:t>
      </w:r>
      <w:r>
        <w:rPr>
          <w:color w:val="FFFFFF"/>
          <w:spacing w:val="-6"/>
          <w:w w:val="105"/>
        </w:rPr>
        <w:t> </w:t>
      </w:r>
      <w:r>
        <w:rPr>
          <w:color w:val="FFFFFF"/>
          <w:w w:val="105"/>
        </w:rPr>
        <w:t>in</w:t>
      </w:r>
      <w:r>
        <w:rPr>
          <w:color w:val="FFFFFF"/>
          <w:spacing w:val="-6"/>
          <w:w w:val="105"/>
        </w:rPr>
        <w:t> </w:t>
      </w:r>
      <w:r>
        <w:rPr>
          <w:color w:val="FFFFFF"/>
          <w:w w:val="105"/>
        </w:rPr>
        <w:t>client</w:t>
      </w:r>
      <w:r>
        <w:rPr>
          <w:color w:val="FFFFFF"/>
          <w:spacing w:val="-6"/>
          <w:w w:val="105"/>
        </w:rPr>
        <w:t> </w:t>
      </w:r>
      <w:r>
        <w:rPr>
          <w:color w:val="FFFFFF"/>
          <w:w w:val="105"/>
        </w:rPr>
        <w:t>assets.</w:t>
      </w:r>
      <w:r>
        <w:rPr>
          <w:color w:val="FFFFFF"/>
          <w:spacing w:val="-6"/>
          <w:w w:val="105"/>
        </w:rPr>
        <w:t> </w:t>
      </w:r>
      <w:r>
        <w:rPr>
          <w:color w:val="FFFFFF"/>
          <w:w w:val="105"/>
        </w:rPr>
        <w:t>Serve</w:t>
      </w:r>
      <w:r>
        <w:rPr>
          <w:color w:val="FFFFFF"/>
          <w:spacing w:val="-6"/>
          <w:w w:val="105"/>
        </w:rPr>
        <w:t> </w:t>
      </w:r>
      <w:r>
        <w:rPr>
          <w:color w:val="FFFFFF"/>
          <w:w w:val="105"/>
        </w:rPr>
        <w:t>dual-income</w:t>
      </w:r>
      <w:r>
        <w:rPr>
          <w:color w:val="FFFFFF"/>
          <w:spacing w:val="-6"/>
          <w:w w:val="105"/>
        </w:rPr>
        <w:t> </w:t>
      </w:r>
      <w:r>
        <w:rPr>
          <w:color w:val="FFFFFF"/>
          <w:w w:val="105"/>
        </w:rPr>
        <w:t>professionals</w:t>
      </w:r>
      <w:r>
        <w:rPr>
          <w:color w:val="FFFFFF"/>
          <w:spacing w:val="-6"/>
          <w:w w:val="105"/>
        </w:rPr>
        <w:t> </w:t>
      </w:r>
      <w:r>
        <w:rPr>
          <w:color w:val="FFFFFF"/>
          <w:w w:val="105"/>
        </w:rPr>
        <w:t>in</w:t>
      </w:r>
      <w:r>
        <w:rPr>
          <w:color w:val="FFFFFF"/>
          <w:spacing w:val="-6"/>
          <w:w w:val="105"/>
        </w:rPr>
        <w:t> </w:t>
      </w:r>
      <w:r>
        <w:rPr>
          <w:color w:val="FFFFFF"/>
          <w:w w:val="105"/>
        </w:rPr>
        <w:t>tech</w:t>
      </w:r>
      <w:r>
        <w:rPr>
          <w:color w:val="FFFFFF"/>
          <w:spacing w:val="-6"/>
          <w:w w:val="105"/>
        </w:rPr>
        <w:t> </w:t>
      </w:r>
      <w:r>
        <w:rPr>
          <w:color w:val="FFFFFF"/>
          <w:w w:val="105"/>
        </w:rPr>
        <w:t>and </w:t>
      </w:r>
      <w:r>
        <w:rPr>
          <w:color w:val="FFFFFF"/>
          <w:spacing w:val="-2"/>
          <w:w w:val="105"/>
        </w:rPr>
        <w:t>healthcare, with planning work spanning equity compensation, tax-efﬁcient investing, </w:t>
      </w:r>
      <w:r>
        <w:rPr>
          <w:color w:val="FFFFFF"/>
          <w:w w:val="105"/>
        </w:rPr>
        <w:t>and college funding.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1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0" w:bottom="280" w:left="141" w:right="283"/>
        </w:sectPr>
      </w:pPr>
    </w:p>
    <w:p>
      <w:pPr>
        <w:pStyle w:val="Heading1"/>
        <w:spacing w:before="32"/>
      </w:pPr>
      <w:r>
        <w:rPr>
          <w:color w:val="17A8E3"/>
          <w:sz w:val="44"/>
        </w:rPr>
        <w:t>C</w:t>
      </w:r>
      <w:r>
        <w:rPr>
          <w:color w:val="17A8E3"/>
        </w:rPr>
        <w:t>ONTACT</w:t>
      </w:r>
      <w:r>
        <w:rPr>
          <w:color w:val="17A8E3"/>
          <w:spacing w:val="-17"/>
        </w:rPr>
        <w:t> </w:t>
      </w:r>
      <w:r>
        <w:rPr>
          <w:color w:val="17A8E3"/>
          <w:spacing w:val="-2"/>
        </w:rPr>
        <w:t>INFORMATION</w:t>
      </w:r>
    </w:p>
    <w:p>
      <w:pPr>
        <w:spacing w:before="77"/>
        <w:ind w:left="100" w:right="0" w:firstLine="0"/>
        <w:jc w:val="left"/>
        <w:rPr>
          <w:b/>
          <w:sz w:val="26"/>
        </w:rPr>
      </w:pPr>
      <w:r>
        <w:rPr/>
        <w:br w:type="column"/>
      </w:r>
      <w:r>
        <w:rPr>
          <w:b/>
          <w:color w:val="17A8E3"/>
          <w:sz w:val="44"/>
        </w:rPr>
        <w:t>P</w:t>
      </w:r>
      <w:r>
        <w:rPr>
          <w:b/>
          <w:color w:val="17A8E3"/>
          <w:sz w:val="26"/>
        </w:rPr>
        <w:t>ROFESSIONAL</w:t>
      </w:r>
      <w:r>
        <w:rPr>
          <w:b/>
          <w:color w:val="17A8E3"/>
          <w:spacing w:val="-4"/>
          <w:sz w:val="26"/>
        </w:rPr>
        <w:t> </w:t>
      </w:r>
      <w:r>
        <w:rPr>
          <w:b/>
          <w:color w:val="17A8E3"/>
          <w:spacing w:val="-2"/>
          <w:sz w:val="26"/>
        </w:rPr>
        <w:t>EXPERIENCE</w:t>
      </w:r>
    </w:p>
    <w:p>
      <w:pPr>
        <w:spacing w:after="0"/>
        <w:jc w:val="left"/>
        <w:rPr>
          <w:b/>
          <w:sz w:val="26"/>
        </w:rPr>
        <w:sectPr>
          <w:type w:val="continuous"/>
          <w:pgSz w:w="11920" w:h="16860"/>
          <w:pgMar w:top="0" w:bottom="280" w:left="141" w:right="283"/>
          <w:cols w:num="2" w:equalWidth="0">
            <w:col w:w="3419" w:space="1007"/>
            <w:col w:w="7070"/>
          </w:cols>
        </w:sectPr>
      </w:pPr>
    </w:p>
    <w:p>
      <w:pPr>
        <w:pStyle w:val="BodyText"/>
        <w:spacing w:before="48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0" w:bottom="280" w:left="141" w:right="283"/>
        </w:sectPr>
      </w:pPr>
    </w:p>
    <w:p>
      <w:pPr>
        <w:pStyle w:val="BodyText"/>
        <w:spacing w:before="138"/>
        <w:ind w:left="42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947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2794000" y="5308599"/>
                            <a:ext cx="4774565" cy="5396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74565" h="5396230">
                                <a:moveTo>
                                  <a:pt x="0" y="5395976"/>
                                </a:moveTo>
                                <a:lnTo>
                                  <a:pt x="0" y="0"/>
                                </a:lnTo>
                                <a:lnTo>
                                  <a:pt x="4774183" y="0"/>
                                </a:lnTo>
                                <a:lnTo>
                                  <a:pt x="4774183" y="5395976"/>
                                </a:lnTo>
                                <a:lnTo>
                                  <a:pt x="0" y="53959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7568565" cy="2419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419350">
                                <a:moveTo>
                                  <a:pt x="7568183" y="2419349"/>
                                </a:moveTo>
                                <a:lnTo>
                                  <a:pt x="0" y="241934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4193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A8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2809874" y="2419349"/>
                            <a:ext cx="4758690" cy="7115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7115175">
                                <a:moveTo>
                                  <a:pt x="4758308" y="7115174"/>
                                </a:moveTo>
                                <a:lnTo>
                                  <a:pt x="0" y="7115174"/>
                                </a:lnTo>
                                <a:lnTo>
                                  <a:pt x="0" y="0"/>
                                </a:lnTo>
                                <a:lnTo>
                                  <a:pt x="4758308" y="0"/>
                                </a:lnTo>
                                <a:lnTo>
                                  <a:pt x="4758308" y="71151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133712" y="3676649"/>
                            <a:ext cx="47625" cy="3524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3524250">
                                <a:moveTo>
                                  <a:pt x="47625" y="3497097"/>
                                </a:moveTo>
                                <a:lnTo>
                                  <a:pt x="27165" y="3476625"/>
                                </a:lnTo>
                                <a:lnTo>
                                  <a:pt x="20472" y="3476625"/>
                                </a:lnTo>
                                <a:lnTo>
                                  <a:pt x="0" y="3497097"/>
                                </a:lnTo>
                                <a:lnTo>
                                  <a:pt x="0" y="3500666"/>
                                </a:lnTo>
                                <a:lnTo>
                                  <a:pt x="0" y="3503790"/>
                                </a:lnTo>
                                <a:lnTo>
                                  <a:pt x="20472" y="3524250"/>
                                </a:lnTo>
                                <a:lnTo>
                                  <a:pt x="27165" y="3524250"/>
                                </a:lnTo>
                                <a:lnTo>
                                  <a:pt x="47625" y="3503790"/>
                                </a:lnTo>
                                <a:lnTo>
                                  <a:pt x="47625" y="3497097"/>
                                </a:lnTo>
                                <a:close/>
                              </a:path>
                              <a:path w="47625" h="3524250">
                                <a:moveTo>
                                  <a:pt x="47625" y="3144672"/>
                                </a:moveTo>
                                <a:lnTo>
                                  <a:pt x="27165" y="3124200"/>
                                </a:lnTo>
                                <a:lnTo>
                                  <a:pt x="20472" y="3124200"/>
                                </a:lnTo>
                                <a:lnTo>
                                  <a:pt x="0" y="3144672"/>
                                </a:lnTo>
                                <a:lnTo>
                                  <a:pt x="0" y="3148241"/>
                                </a:lnTo>
                                <a:lnTo>
                                  <a:pt x="0" y="3151365"/>
                                </a:lnTo>
                                <a:lnTo>
                                  <a:pt x="20472" y="3171825"/>
                                </a:lnTo>
                                <a:lnTo>
                                  <a:pt x="27165" y="3171825"/>
                                </a:lnTo>
                                <a:lnTo>
                                  <a:pt x="47625" y="3151365"/>
                                </a:lnTo>
                                <a:lnTo>
                                  <a:pt x="47625" y="3144672"/>
                                </a:lnTo>
                                <a:close/>
                              </a:path>
                              <a:path w="47625" h="3524250">
                                <a:moveTo>
                                  <a:pt x="47625" y="2788310"/>
                                </a:moveTo>
                                <a:lnTo>
                                  <a:pt x="31102" y="2771775"/>
                                </a:lnTo>
                                <a:lnTo>
                                  <a:pt x="16535" y="2771775"/>
                                </a:lnTo>
                                <a:lnTo>
                                  <a:pt x="0" y="2788310"/>
                                </a:lnTo>
                                <a:lnTo>
                                  <a:pt x="0" y="2790825"/>
                                </a:lnTo>
                                <a:lnTo>
                                  <a:pt x="0" y="2793352"/>
                                </a:lnTo>
                                <a:lnTo>
                                  <a:pt x="16535" y="2809875"/>
                                </a:lnTo>
                                <a:lnTo>
                                  <a:pt x="31102" y="2809875"/>
                                </a:lnTo>
                                <a:lnTo>
                                  <a:pt x="47625" y="2793352"/>
                                </a:lnTo>
                                <a:lnTo>
                                  <a:pt x="47625" y="2788310"/>
                                </a:lnTo>
                                <a:close/>
                              </a:path>
                              <a:path w="47625" h="3524250">
                                <a:moveTo>
                                  <a:pt x="47625" y="1734972"/>
                                </a:moveTo>
                                <a:lnTo>
                                  <a:pt x="27165" y="1714500"/>
                                </a:lnTo>
                                <a:lnTo>
                                  <a:pt x="20472" y="1714500"/>
                                </a:lnTo>
                                <a:lnTo>
                                  <a:pt x="0" y="1734972"/>
                                </a:lnTo>
                                <a:lnTo>
                                  <a:pt x="0" y="1738541"/>
                                </a:lnTo>
                                <a:lnTo>
                                  <a:pt x="0" y="1741665"/>
                                </a:lnTo>
                                <a:lnTo>
                                  <a:pt x="20472" y="1762125"/>
                                </a:lnTo>
                                <a:lnTo>
                                  <a:pt x="27165" y="1762125"/>
                                </a:lnTo>
                                <a:lnTo>
                                  <a:pt x="47625" y="1741665"/>
                                </a:lnTo>
                                <a:lnTo>
                                  <a:pt x="47625" y="1734972"/>
                                </a:lnTo>
                                <a:close/>
                              </a:path>
                              <a:path w="47625" h="3524250">
                                <a:moveTo>
                                  <a:pt x="47625" y="1382547"/>
                                </a:moveTo>
                                <a:lnTo>
                                  <a:pt x="27165" y="1362075"/>
                                </a:lnTo>
                                <a:lnTo>
                                  <a:pt x="20472" y="1362075"/>
                                </a:lnTo>
                                <a:lnTo>
                                  <a:pt x="0" y="1382547"/>
                                </a:lnTo>
                                <a:lnTo>
                                  <a:pt x="0" y="1386116"/>
                                </a:lnTo>
                                <a:lnTo>
                                  <a:pt x="0" y="1389240"/>
                                </a:lnTo>
                                <a:lnTo>
                                  <a:pt x="20472" y="1409700"/>
                                </a:lnTo>
                                <a:lnTo>
                                  <a:pt x="27165" y="1409700"/>
                                </a:lnTo>
                                <a:lnTo>
                                  <a:pt x="47625" y="1389240"/>
                                </a:lnTo>
                                <a:lnTo>
                                  <a:pt x="47625" y="1382547"/>
                                </a:lnTo>
                                <a:close/>
                              </a:path>
                              <a:path w="47625" h="3524250">
                                <a:moveTo>
                                  <a:pt x="47625" y="877722"/>
                                </a:moveTo>
                                <a:lnTo>
                                  <a:pt x="27165" y="857250"/>
                                </a:lnTo>
                                <a:lnTo>
                                  <a:pt x="20472" y="857250"/>
                                </a:lnTo>
                                <a:lnTo>
                                  <a:pt x="0" y="877722"/>
                                </a:lnTo>
                                <a:lnTo>
                                  <a:pt x="0" y="881291"/>
                                </a:lnTo>
                                <a:lnTo>
                                  <a:pt x="0" y="884415"/>
                                </a:lnTo>
                                <a:lnTo>
                                  <a:pt x="20472" y="904875"/>
                                </a:lnTo>
                                <a:lnTo>
                                  <a:pt x="27165" y="904875"/>
                                </a:lnTo>
                                <a:lnTo>
                                  <a:pt x="47625" y="884415"/>
                                </a:lnTo>
                                <a:lnTo>
                                  <a:pt x="47625" y="877722"/>
                                </a:lnTo>
                                <a:close/>
                              </a:path>
                              <a:path w="47625" h="3524250">
                                <a:moveTo>
                                  <a:pt x="47625" y="372897"/>
                                </a:moveTo>
                                <a:lnTo>
                                  <a:pt x="27165" y="352425"/>
                                </a:lnTo>
                                <a:lnTo>
                                  <a:pt x="20472" y="352425"/>
                                </a:lnTo>
                                <a:lnTo>
                                  <a:pt x="0" y="372897"/>
                                </a:lnTo>
                                <a:lnTo>
                                  <a:pt x="0" y="376466"/>
                                </a:lnTo>
                                <a:lnTo>
                                  <a:pt x="0" y="379590"/>
                                </a:lnTo>
                                <a:lnTo>
                                  <a:pt x="20472" y="400050"/>
                                </a:lnTo>
                                <a:lnTo>
                                  <a:pt x="27165" y="400050"/>
                                </a:lnTo>
                                <a:lnTo>
                                  <a:pt x="47625" y="379590"/>
                                </a:lnTo>
                                <a:lnTo>
                                  <a:pt x="47625" y="372897"/>
                                </a:lnTo>
                                <a:close/>
                              </a:path>
                              <a:path w="47625" h="352425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2705099"/>
                            <a:ext cx="2809875" cy="3924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3924300">
                                <a:moveTo>
                                  <a:pt x="2809862" y="3676650"/>
                                </a:moveTo>
                                <a:lnTo>
                                  <a:pt x="0" y="3676650"/>
                                </a:lnTo>
                                <a:lnTo>
                                  <a:pt x="0" y="3924300"/>
                                </a:lnTo>
                                <a:lnTo>
                                  <a:pt x="2809862" y="3924300"/>
                                </a:lnTo>
                                <a:lnTo>
                                  <a:pt x="2809862" y="3676650"/>
                                </a:lnTo>
                                <a:close/>
                              </a:path>
                              <a:path w="2809875" h="3924300">
                                <a:moveTo>
                                  <a:pt x="2809862" y="1533525"/>
                                </a:moveTo>
                                <a:lnTo>
                                  <a:pt x="0" y="1533525"/>
                                </a:lnTo>
                                <a:lnTo>
                                  <a:pt x="0" y="1771650"/>
                                </a:lnTo>
                                <a:lnTo>
                                  <a:pt x="2809862" y="1771650"/>
                                </a:lnTo>
                                <a:lnTo>
                                  <a:pt x="2809862" y="1533525"/>
                                </a:lnTo>
                                <a:close/>
                              </a:path>
                              <a:path w="2809875" h="3924300">
                                <a:moveTo>
                                  <a:pt x="28098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8125"/>
                                </a:lnTo>
                                <a:lnTo>
                                  <a:pt x="2809862" y="238125"/>
                                </a:lnTo>
                                <a:lnTo>
                                  <a:pt x="28098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2.9pt;mso-position-horizontal-relative:page;mso-position-vertical-relative:page;z-index:-15787008" id="docshapegroup2" coordorigin="0,0" coordsize="11919,16858">
                <v:rect style="position:absolute;left:4400;top:8360;width:7519;height:8498" id="docshape3" filled="true" fillcolor="#f1f4f4" stroked="false">
                  <v:fill type="solid"/>
                </v:rect>
                <v:rect style="position:absolute;left:0;top:0;width:11919;height:3810" id="docshape4" filled="true" fillcolor="#17a8e3" stroked="false">
                  <v:fill type="solid"/>
                </v:rect>
                <v:rect style="position:absolute;left:4425;top:3810;width:7494;height:11205" id="docshape5" filled="true" fillcolor="#f5f5f5" stroked="false">
                  <v:fill type="solid"/>
                </v:rect>
                <v:shape style="position:absolute;left:4934;top:5790;width:75;height:5550" id="docshape6" coordorigin="4935,5790" coordsize="75,5550" path="m5010,11297l5009,11292,5005,11283,5003,11279,4996,11272,4992,11270,4983,11266,4978,11265,4967,11265,4962,11266,4953,11270,4949,11272,4942,11279,4940,11283,4936,11292,4935,11297,4935,11303,4935,11308,4936,11313,4940,11322,4942,11326,4949,11333,4953,11335,4962,11339,4967,11340,4978,11340,4983,11339,4992,11335,4996,11333,5003,11326,5005,11322,5009,11313,5010,11308,5010,11297xm5010,10742l5009,10737,5005,10728,5003,10724,4996,10717,4992,10715,4983,10711,4978,10710,4967,10710,4962,10711,4953,10715,4949,10717,4942,10724,4940,10728,4936,10737,4935,10742,4935,10748,4935,10753,4936,10758,4940,10767,4942,10771,4949,10778,4953,10780,4962,10784,4967,10785,4978,10785,4983,10784,4992,10780,4996,10778,5003,10771,5005,10767,5009,10758,5010,10753,5010,10742xm5010,10181l5009,10177,5006,10170,5004,10167,4998,10161,4995,10159,4988,10156,4984,10155,4961,10155,4957,10156,4950,10159,4947,10161,4941,10167,4939,10170,4936,10177,4935,10181,4935,10185,4935,10189,4936,10193,4939,10200,4941,10203,4947,10209,4950,10211,4957,10214,4961,10215,4984,10215,4988,10214,4995,10211,4998,10209,5004,10203,5006,10200,5009,10193,5010,10189,5010,10181xm5010,8522l5009,8517,5005,8508,5003,8504,4996,8497,4992,8495,4983,8491,4978,8490,4967,8490,4962,8491,4953,8495,4949,8497,4942,8504,4940,8508,4936,8517,4935,8522,4935,8528,4935,8533,4936,8538,4940,8547,4942,8551,4949,8558,4953,8560,4962,8564,4967,8565,4978,8565,4983,8564,4992,8560,4996,8558,5003,8551,5005,8547,5009,8538,5010,8533,5010,8522xm5010,7967l5009,7962,5005,7953,5003,7949,4996,7942,4992,7940,4983,7936,4978,7935,4967,7935,4962,7936,4953,7940,4949,7942,4942,7949,4940,7953,4936,7962,4935,7967,4935,7973,4935,7978,4936,7983,4940,7992,4942,7996,4949,8003,4953,8005,4962,8009,4967,8010,4978,8010,4983,8009,4992,8005,4996,8003,5003,7996,5005,7992,5009,7983,5010,7978,5010,7967xm5010,7172l5009,7167,5005,7158,5003,7154,4996,7147,4992,7145,4983,7141,4978,7140,4967,7140,4962,7141,4953,7145,4949,7147,4942,7154,4940,7158,4936,7167,4935,7172,4935,7178,4935,7183,4936,7188,4940,7197,4942,7201,4949,7208,4953,7210,4962,7214,4967,7215,4978,7215,4983,7214,4992,7210,4996,7208,5003,7201,5005,7197,5009,7188,5010,7183,5010,7172xm5010,6377l5009,6372,5005,6363,5003,6359,4996,6352,4992,6350,4983,6346,4978,6345,4967,6345,4962,6346,4953,6350,4949,6352,4942,6359,4940,6363,4936,6372,4935,6377,4935,6383,4935,6388,4936,6393,4940,6402,4942,6406,4949,6413,4953,6415,4962,6419,4967,6420,4978,6420,4983,6419,4992,6415,4996,6413,5003,6406,5005,6402,5009,6393,5010,6388,5010,6377xm5010,5822l5009,5817,5005,5808,5003,5804,4996,5797,4992,5795,4983,5791,4978,5790,4967,5790,4962,5791,4953,5795,4949,5797,4942,5804,4940,5808,4936,5817,4935,5822,4935,5828,4935,5833,4936,5838,4940,5847,4942,5851,4949,5858,4953,5860,4962,5864,4967,5865,4978,5865,4983,5864,4992,5860,4996,5858,5003,5851,5005,5847,5009,5838,5010,5833,5010,5822xe" filled="true" fillcolor="#000000" stroked="false">
                  <v:path arrowok="t"/>
                  <v:fill type="solid"/>
                </v:shape>
                <v:shape style="position:absolute;left:0;top:4260;width:4425;height:6180" id="docshape7" coordorigin="0,4260" coordsize="4425,6180" path="m4425,10050l0,10050,0,10440,4425,10440,4425,10050xm4425,6675l0,6675,0,7050,4425,7050,4425,6675xm4425,4260l0,4260,0,4635,4425,4635,4425,4260xe" filled="true" fillcolor="#fae4cc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position w:val="-10"/>
        </w:rPr>
        <w:drawing>
          <wp:inline distT="0" distB="0" distL="0" distR="0">
            <wp:extent cx="200766" cy="200761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766" cy="200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80"/>
          <w:w w:val="150"/>
          <w:sz w:val="20"/>
        </w:rPr>
        <w:t> </w:t>
      </w:r>
      <w:r>
        <w:rPr/>
        <w:t>(480) 555-0119</w:t>
      </w:r>
    </w:p>
    <w:p>
      <w:pPr>
        <w:pStyle w:val="BodyText"/>
        <w:spacing w:line="340" w:lineRule="auto" w:before="134"/>
        <w:ind w:left="430" w:right="213" w:firstLine="19"/>
      </w:pPr>
      <w:r>
        <w:rPr>
          <w:position w:val="-10"/>
        </w:rPr>
        <w:drawing>
          <wp:inline distT="0" distB="0" distL="0" distR="0">
            <wp:extent cx="174258" cy="200679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258" cy="200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73"/>
          <w:w w:val="105"/>
          <w:sz w:val="20"/>
        </w:rPr>
        <w:t> </w:t>
      </w:r>
      <w:hyperlink r:id="rId7">
        <w:r>
          <w:rPr>
            <w:w w:val="105"/>
          </w:rPr>
          <w:t>elena.vasquez@example.com</w:t>
        </w:r>
      </w:hyperlink>
      <w:r>
        <w:rPr>
          <w:w w:val="105"/>
        </w:rPr>
        <w:t> </w:t>
      </w:r>
      <w:r>
        <w:rPr>
          <w:position w:val="-10"/>
        </w:rPr>
        <w:drawing>
          <wp:inline distT="0" distB="0" distL="0" distR="0">
            <wp:extent cx="199480" cy="200769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480" cy="200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80"/>
          <w:w w:val="105"/>
        </w:rPr>
        <w:t> </w:t>
      </w:r>
      <w:r>
        <w:rPr>
          <w:w w:val="105"/>
        </w:rPr>
        <w:t>Scottsdale, AZ 12345</w:t>
      </w:r>
    </w:p>
    <w:p>
      <w:pPr>
        <w:pStyle w:val="Heading1"/>
        <w:spacing w:before="85"/>
      </w:pPr>
      <w:r>
        <w:rPr>
          <w:color w:val="17A8E3"/>
          <w:spacing w:val="-2"/>
          <w:sz w:val="44"/>
        </w:rPr>
        <w:t>E</w:t>
      </w:r>
      <w:r>
        <w:rPr>
          <w:color w:val="17A8E3"/>
          <w:spacing w:val="-2"/>
        </w:rPr>
        <w:t>DUCATION</w:t>
      </w:r>
    </w:p>
    <w:p>
      <w:pPr>
        <w:pStyle w:val="BodyText"/>
        <w:spacing w:before="174"/>
        <w:rPr>
          <w:b/>
          <w:sz w:val="26"/>
        </w:rPr>
      </w:pPr>
    </w:p>
    <w:p>
      <w:pPr>
        <w:pStyle w:val="BodyText"/>
        <w:spacing w:line="261" w:lineRule="auto"/>
        <w:ind w:left="435"/>
      </w:pPr>
      <w:r>
        <w:rPr/>
        <w:t>B.S., Personal Financial Planning, </w:t>
      </w:r>
      <w:r>
        <w:rPr>
          <w:w w:val="105"/>
        </w:rPr>
        <w:t>Colorado State University, 2017</w:t>
      </w:r>
    </w:p>
    <w:p>
      <w:pPr>
        <w:pStyle w:val="BodyText"/>
      </w:pPr>
    </w:p>
    <w:p>
      <w:pPr>
        <w:pStyle w:val="BodyText"/>
        <w:spacing w:before="64"/>
      </w:pPr>
    </w:p>
    <w:p>
      <w:pPr>
        <w:pStyle w:val="BodyText"/>
        <w:spacing w:line="261" w:lineRule="auto" w:before="1"/>
        <w:ind w:left="435"/>
      </w:pPr>
      <w:r>
        <w:rPr/>
        <w:t>CERTIFIED</w:t>
      </w:r>
      <w:r>
        <w:rPr>
          <w:spacing w:val="-13"/>
        </w:rPr>
        <w:t> </w:t>
      </w:r>
      <w:r>
        <w:rPr/>
        <w:t>FINANCIAL</w:t>
      </w:r>
      <w:r>
        <w:rPr>
          <w:spacing w:val="-12"/>
        </w:rPr>
        <w:t> </w:t>
      </w:r>
      <w:r>
        <w:rPr/>
        <w:t>PLANNER</w:t>
      </w:r>
      <w:r>
        <w:rPr>
          <w:spacing w:val="-13"/>
        </w:rPr>
        <w:t> </w:t>
      </w:r>
      <w:r>
        <w:rPr/>
        <w:t>(CFP), </w:t>
      </w:r>
      <w:r>
        <w:rPr>
          <w:spacing w:val="-4"/>
        </w:rPr>
        <w:t>2019</w:t>
      </w:r>
    </w:p>
    <w:p>
      <w:pPr>
        <w:pStyle w:val="BodyText"/>
      </w:pPr>
    </w:p>
    <w:p>
      <w:pPr>
        <w:pStyle w:val="BodyText"/>
        <w:spacing w:before="64"/>
      </w:pPr>
    </w:p>
    <w:p>
      <w:pPr>
        <w:pStyle w:val="BodyText"/>
        <w:ind w:left="435"/>
      </w:pPr>
      <w:r>
        <w:rPr/>
        <w:t>FINRA</w:t>
      </w:r>
      <w:r>
        <w:rPr>
          <w:spacing w:val="-4"/>
        </w:rPr>
        <w:t> </w:t>
      </w:r>
      <w:r>
        <w:rPr/>
        <w:t>Series</w:t>
      </w:r>
      <w:r>
        <w:rPr>
          <w:spacing w:val="-3"/>
        </w:rPr>
        <w:t> </w:t>
      </w:r>
      <w:r>
        <w:rPr>
          <w:spacing w:val="-5"/>
        </w:rPr>
        <w:t>65</w:t>
      </w:r>
    </w:p>
    <w:p>
      <w:pPr>
        <w:pStyle w:val="BodyText"/>
        <w:spacing w:before="137"/>
      </w:pPr>
    </w:p>
    <w:p>
      <w:pPr>
        <w:pStyle w:val="Heading1"/>
      </w:pPr>
      <w:r>
        <w:rPr>
          <w:color w:val="17A8E3"/>
          <w:sz w:val="44"/>
        </w:rPr>
        <w:t>K</w:t>
      </w:r>
      <w:r>
        <w:rPr>
          <w:color w:val="17A8E3"/>
        </w:rPr>
        <w:t>EY</w:t>
      </w:r>
      <w:r>
        <w:rPr>
          <w:color w:val="17A8E3"/>
          <w:spacing w:val="-2"/>
        </w:rPr>
        <w:t> SKILLS</w:t>
      </w:r>
    </w:p>
    <w:p>
      <w:pPr>
        <w:pStyle w:val="BodyText"/>
        <w:spacing w:before="158"/>
        <w:rPr>
          <w:b/>
          <w:sz w:val="26"/>
        </w:rPr>
      </w:pP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78" w:lineRule="auto" w:before="0" w:after="0"/>
        <w:ind w:left="732" w:right="442" w:hanging="304"/>
        <w:jc w:val="left"/>
        <w:rPr>
          <w:sz w:val="18"/>
        </w:rPr>
      </w:pPr>
      <w:r>
        <w:rPr>
          <w:w w:val="105"/>
          <w:sz w:val="18"/>
        </w:rPr>
        <w:t>Equity compensation planning (restricted stock, stock options, employee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stock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purchase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plans)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78" w:lineRule="auto" w:before="75" w:after="0"/>
        <w:ind w:left="732" w:right="291" w:hanging="304"/>
        <w:jc w:val="left"/>
        <w:rPr>
          <w:sz w:val="18"/>
        </w:rPr>
      </w:pPr>
      <w:r>
        <w:rPr>
          <w:w w:val="105"/>
          <w:sz w:val="18"/>
        </w:rPr>
        <w:t>Alternative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minimum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tax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multi-year tax projections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90" w:after="0"/>
        <w:ind w:left="732" w:right="0" w:hanging="304"/>
        <w:jc w:val="left"/>
        <w:rPr>
          <w:sz w:val="18"/>
        </w:rPr>
      </w:pPr>
      <w:r>
        <w:rPr>
          <w:sz w:val="18"/>
        </w:rPr>
        <w:t>Roth</w:t>
      </w:r>
      <w:r>
        <w:rPr>
          <w:spacing w:val="13"/>
          <w:sz w:val="18"/>
        </w:rPr>
        <w:t> </w:t>
      </w:r>
      <w:r>
        <w:rPr>
          <w:sz w:val="18"/>
        </w:rPr>
        <w:t>conversion</w:t>
      </w:r>
      <w:r>
        <w:rPr>
          <w:spacing w:val="14"/>
          <w:sz w:val="18"/>
        </w:rPr>
        <w:t> </w:t>
      </w:r>
      <w:r>
        <w:rPr>
          <w:spacing w:val="-2"/>
          <w:sz w:val="18"/>
        </w:rPr>
        <w:t>strategy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08" w:after="0"/>
        <w:ind w:left="732" w:right="0" w:hanging="304"/>
        <w:jc w:val="left"/>
        <w:rPr>
          <w:sz w:val="18"/>
        </w:rPr>
      </w:pPr>
      <w:r>
        <w:rPr>
          <w:w w:val="105"/>
          <w:sz w:val="18"/>
        </w:rPr>
        <w:t>529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education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funding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23" w:after="0"/>
        <w:ind w:left="732" w:right="0" w:hanging="304"/>
        <w:jc w:val="left"/>
        <w:rPr>
          <w:sz w:val="18"/>
        </w:rPr>
      </w:pPr>
      <w:r>
        <w:rPr>
          <w:spacing w:val="-2"/>
          <w:w w:val="105"/>
          <w:sz w:val="18"/>
        </w:rPr>
        <w:t>Donor-advised</w:t>
      </w:r>
      <w:r>
        <w:rPr>
          <w:spacing w:val="2"/>
          <w:w w:val="105"/>
          <w:sz w:val="18"/>
        </w:rPr>
        <w:t> </w:t>
      </w:r>
      <w:r>
        <w:rPr>
          <w:spacing w:val="-2"/>
          <w:w w:val="105"/>
          <w:sz w:val="18"/>
        </w:rPr>
        <w:t>fund</w:t>
      </w:r>
      <w:r>
        <w:rPr>
          <w:spacing w:val="3"/>
          <w:w w:val="105"/>
          <w:sz w:val="18"/>
        </w:rPr>
        <w:t> </w:t>
      </w:r>
      <w:r>
        <w:rPr>
          <w:spacing w:val="-2"/>
          <w:w w:val="105"/>
          <w:sz w:val="18"/>
        </w:rPr>
        <w:t>planning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23" w:after="0"/>
        <w:ind w:left="732" w:right="0" w:hanging="304"/>
        <w:jc w:val="left"/>
        <w:rPr>
          <w:sz w:val="18"/>
        </w:rPr>
      </w:pPr>
      <w:r>
        <w:rPr>
          <w:sz w:val="18"/>
        </w:rPr>
        <w:t>MoneyGuidePro</w:t>
      </w:r>
      <w:r>
        <w:rPr>
          <w:spacing w:val="21"/>
          <w:sz w:val="18"/>
        </w:rPr>
        <w:t> </w:t>
      </w:r>
      <w:r>
        <w:rPr>
          <w:sz w:val="18"/>
        </w:rPr>
        <w:t>and</w:t>
      </w:r>
      <w:r>
        <w:rPr>
          <w:spacing w:val="21"/>
          <w:sz w:val="18"/>
        </w:rPr>
        <w:t> </w:t>
      </w:r>
      <w:r>
        <w:rPr>
          <w:spacing w:val="-2"/>
          <w:sz w:val="18"/>
        </w:rPr>
        <w:t>eMoney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23" w:after="0"/>
        <w:ind w:left="732" w:right="0" w:hanging="304"/>
        <w:jc w:val="left"/>
        <w:rPr>
          <w:sz w:val="18"/>
        </w:rPr>
      </w:pPr>
      <w:r>
        <w:rPr>
          <w:sz w:val="18"/>
        </w:rPr>
        <w:t>Redtail</w:t>
      </w:r>
      <w:r>
        <w:rPr>
          <w:spacing w:val="11"/>
          <w:sz w:val="18"/>
        </w:rPr>
        <w:t> </w:t>
      </w:r>
      <w:r>
        <w:rPr>
          <w:spacing w:val="-5"/>
          <w:sz w:val="18"/>
        </w:rPr>
        <w:t>CRM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08" w:after="0"/>
        <w:ind w:left="732" w:right="0" w:hanging="304"/>
        <w:jc w:val="left"/>
        <w:rPr>
          <w:sz w:val="18"/>
        </w:rPr>
      </w:pPr>
      <w:r>
        <w:rPr>
          <w:w w:val="105"/>
          <w:sz w:val="18"/>
        </w:rPr>
        <w:t>Orion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performance</w:t>
      </w:r>
      <w:r>
        <w:rPr>
          <w:spacing w:val="-9"/>
          <w:w w:val="105"/>
          <w:sz w:val="18"/>
        </w:rPr>
        <w:t> </w:t>
      </w:r>
      <w:r>
        <w:rPr>
          <w:spacing w:val="-2"/>
          <w:w w:val="105"/>
          <w:sz w:val="18"/>
        </w:rPr>
        <w:t>reporting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23" w:after="0"/>
        <w:ind w:left="732" w:right="0" w:hanging="304"/>
        <w:jc w:val="left"/>
        <w:rPr>
          <w:sz w:val="18"/>
        </w:rPr>
      </w:pPr>
      <w:r>
        <w:rPr>
          <w:spacing w:val="-2"/>
          <w:w w:val="105"/>
          <w:sz w:val="18"/>
        </w:rPr>
        <w:t>Client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retention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and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review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cadence</w:t>
      </w:r>
    </w:p>
    <w:p>
      <w:pPr>
        <w:pStyle w:val="BodyText"/>
        <w:spacing w:line="331" w:lineRule="auto" w:before="75"/>
        <w:ind w:left="100" w:right="570"/>
      </w:pPr>
      <w:r>
        <w:rPr/>
        <w:br w:type="column"/>
      </w:r>
      <w:r>
        <w:rPr/>
        <w:t>FINANCIAL ADVISOR | SONORAN PEAK ADVISORS, SCOTTSDALE, AZ </w:t>
      </w:r>
      <w:r>
        <w:rPr>
          <w:w w:val="105"/>
        </w:rPr>
        <w:t>2020 – PRESENT</w:t>
      </w:r>
    </w:p>
    <w:p>
      <w:pPr>
        <w:pStyle w:val="BodyText"/>
        <w:spacing w:line="261" w:lineRule="auto" w:before="193"/>
        <w:ind w:left="658" w:right="570"/>
      </w:pPr>
      <w:r>
        <w:rPr>
          <w:w w:val="105"/>
        </w:rPr>
        <w:t>Manage</w:t>
      </w:r>
      <w:r>
        <w:rPr>
          <w:spacing w:val="-10"/>
          <w:w w:val="105"/>
        </w:rPr>
        <w:t> </w:t>
      </w:r>
      <w:r>
        <w:rPr>
          <w:w w:val="105"/>
        </w:rPr>
        <w:t>$63M</w:t>
      </w:r>
      <w:r>
        <w:rPr>
          <w:spacing w:val="-10"/>
          <w:w w:val="105"/>
        </w:rPr>
        <w:t> </w:t>
      </w:r>
      <w:r>
        <w:rPr>
          <w:w w:val="105"/>
        </w:rPr>
        <w:t>across</w:t>
      </w:r>
      <w:r>
        <w:rPr>
          <w:spacing w:val="-10"/>
          <w:w w:val="105"/>
        </w:rPr>
        <w:t> </w:t>
      </w:r>
      <w:r>
        <w:rPr>
          <w:w w:val="105"/>
        </w:rPr>
        <w:t>118</w:t>
      </w:r>
      <w:r>
        <w:rPr>
          <w:spacing w:val="-10"/>
          <w:w w:val="105"/>
        </w:rPr>
        <w:t> </w:t>
      </w:r>
      <w:r>
        <w:rPr>
          <w:w w:val="105"/>
        </w:rPr>
        <w:t>households,</w:t>
      </w:r>
      <w:r>
        <w:rPr>
          <w:spacing w:val="-10"/>
          <w:w w:val="105"/>
        </w:rPr>
        <w:t> </w:t>
      </w:r>
      <w:r>
        <w:rPr>
          <w:w w:val="105"/>
        </w:rPr>
        <w:t>generating</w:t>
      </w:r>
      <w:r>
        <w:rPr>
          <w:spacing w:val="-10"/>
          <w:w w:val="105"/>
        </w:rPr>
        <w:t> </w:t>
      </w:r>
      <w:r>
        <w:rPr>
          <w:w w:val="105"/>
        </w:rPr>
        <w:t>roughly</w:t>
      </w:r>
      <w:r>
        <w:rPr>
          <w:spacing w:val="-10"/>
          <w:w w:val="105"/>
        </w:rPr>
        <w:t> </w:t>
      </w:r>
      <w:r>
        <w:rPr>
          <w:w w:val="105"/>
        </w:rPr>
        <w:t>$540K</w:t>
      </w:r>
      <w:r>
        <w:rPr>
          <w:spacing w:val="-10"/>
          <w:w w:val="105"/>
        </w:rPr>
        <w:t> </w:t>
      </w:r>
      <w:r>
        <w:rPr>
          <w:w w:val="105"/>
        </w:rPr>
        <w:t>in annual advisory revenue on a 0.85% blended fee schedule.</w:t>
      </w:r>
    </w:p>
    <w:p>
      <w:pPr>
        <w:pStyle w:val="BodyText"/>
        <w:spacing w:line="268" w:lineRule="auto" w:before="104"/>
        <w:ind w:left="658" w:right="159"/>
      </w:pPr>
      <w:r>
        <w:rPr>
          <w:w w:val="105"/>
        </w:rPr>
        <w:t>Built an equity compensation planning workﬂow for clients holding restricted</w:t>
      </w:r>
      <w:r>
        <w:rPr>
          <w:spacing w:val="-1"/>
          <w:w w:val="105"/>
        </w:rPr>
        <w:t> </w:t>
      </w:r>
      <w:r>
        <w:rPr>
          <w:w w:val="105"/>
        </w:rPr>
        <w:t>stock</w:t>
      </w:r>
      <w:r>
        <w:rPr>
          <w:spacing w:val="-1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incentive</w:t>
      </w:r>
      <w:r>
        <w:rPr>
          <w:spacing w:val="-1"/>
          <w:w w:val="105"/>
        </w:rPr>
        <w:t> </w:t>
      </w:r>
      <w:r>
        <w:rPr>
          <w:w w:val="105"/>
        </w:rPr>
        <w:t>stock</w:t>
      </w:r>
      <w:r>
        <w:rPr>
          <w:spacing w:val="-1"/>
          <w:w w:val="105"/>
        </w:rPr>
        <w:t> </w:t>
      </w:r>
      <w:r>
        <w:rPr>
          <w:w w:val="105"/>
        </w:rPr>
        <w:t>options,</w:t>
      </w:r>
      <w:r>
        <w:rPr>
          <w:spacing w:val="-1"/>
          <w:w w:val="105"/>
        </w:rPr>
        <w:t> </w:t>
      </w:r>
      <w:r>
        <w:rPr>
          <w:w w:val="105"/>
        </w:rPr>
        <w:t>covering</w:t>
      </w:r>
      <w:r>
        <w:rPr>
          <w:spacing w:val="-1"/>
          <w:w w:val="105"/>
        </w:rPr>
        <w:t> </w:t>
      </w:r>
      <w:r>
        <w:rPr>
          <w:w w:val="105"/>
        </w:rPr>
        <w:t>trading</w:t>
      </w:r>
      <w:r>
        <w:rPr>
          <w:spacing w:val="-1"/>
          <w:w w:val="105"/>
        </w:rPr>
        <w:t> </w:t>
      </w:r>
      <w:r>
        <w:rPr>
          <w:w w:val="105"/>
        </w:rPr>
        <w:t>plan</w:t>
      </w:r>
      <w:r>
        <w:rPr>
          <w:spacing w:val="-1"/>
          <w:w w:val="105"/>
        </w:rPr>
        <w:t> </w:t>
      </w:r>
      <w:r>
        <w:rPr>
          <w:w w:val="105"/>
        </w:rPr>
        <w:t>timing, alternative tax projections, and concentrated-position diversiﬁcation.</w:t>
      </w:r>
    </w:p>
    <w:p>
      <w:pPr>
        <w:pStyle w:val="BodyText"/>
        <w:spacing w:line="268" w:lineRule="auto" w:before="100"/>
        <w:ind w:left="658" w:right="159"/>
      </w:pPr>
      <w:r>
        <w:rPr>
          <w:w w:val="105"/>
        </w:rPr>
        <w:t>Coordinated with clients' CPAs during Q4 on tax-loss harvesting and charitable</w:t>
      </w:r>
      <w:r>
        <w:rPr>
          <w:spacing w:val="-3"/>
          <w:w w:val="105"/>
        </w:rPr>
        <w:t> </w:t>
      </w:r>
      <w:r>
        <w:rPr>
          <w:w w:val="105"/>
        </w:rPr>
        <w:t>giving</w:t>
      </w:r>
      <w:r>
        <w:rPr>
          <w:spacing w:val="-3"/>
          <w:w w:val="105"/>
        </w:rPr>
        <w:t> </w:t>
      </w:r>
      <w:r>
        <w:rPr>
          <w:w w:val="105"/>
        </w:rPr>
        <w:t>via</w:t>
      </w:r>
      <w:r>
        <w:rPr>
          <w:spacing w:val="-3"/>
          <w:w w:val="105"/>
        </w:rPr>
        <w:t> </w:t>
      </w:r>
      <w:r>
        <w:rPr>
          <w:w w:val="105"/>
        </w:rPr>
        <w:t>donor-advised</w:t>
      </w:r>
      <w:r>
        <w:rPr>
          <w:spacing w:val="-3"/>
          <w:w w:val="105"/>
        </w:rPr>
        <w:t> </w:t>
      </w:r>
      <w:r>
        <w:rPr>
          <w:w w:val="105"/>
        </w:rPr>
        <w:t>funds,</w:t>
      </w:r>
      <w:r>
        <w:rPr>
          <w:spacing w:val="-3"/>
          <w:w w:val="105"/>
        </w:rPr>
        <w:t> </w:t>
      </w:r>
      <w:r>
        <w:rPr>
          <w:w w:val="105"/>
        </w:rPr>
        <w:t>closing</w:t>
      </w:r>
      <w:r>
        <w:rPr>
          <w:spacing w:val="-3"/>
          <w:w w:val="105"/>
        </w:rPr>
        <w:t> </w:t>
      </w:r>
      <w:r>
        <w:rPr>
          <w:w w:val="105"/>
        </w:rPr>
        <w:t>out</w:t>
      </w:r>
      <w:r>
        <w:rPr>
          <w:spacing w:val="-3"/>
          <w:w w:val="105"/>
        </w:rPr>
        <w:t> </w:t>
      </w:r>
      <w:r>
        <w:rPr>
          <w:w w:val="105"/>
        </w:rPr>
        <w:t>34</w:t>
      </w:r>
      <w:r>
        <w:rPr>
          <w:spacing w:val="-3"/>
          <w:w w:val="105"/>
        </w:rPr>
        <w:t> </w:t>
      </w:r>
      <w:r>
        <w:rPr>
          <w:w w:val="105"/>
        </w:rPr>
        <w:t>tax</w:t>
      </w:r>
      <w:r>
        <w:rPr>
          <w:spacing w:val="-3"/>
          <w:w w:val="105"/>
        </w:rPr>
        <w:t> </w:t>
      </w:r>
      <w:r>
        <w:rPr>
          <w:w w:val="105"/>
        </w:rPr>
        <w:t>projects</w:t>
      </w:r>
      <w:r>
        <w:rPr>
          <w:spacing w:val="-3"/>
          <w:w w:val="105"/>
        </w:rPr>
        <w:t> </w:t>
      </w:r>
      <w:r>
        <w:rPr>
          <w:w w:val="105"/>
        </w:rPr>
        <w:t>in </w:t>
      </w:r>
      <w:r>
        <w:rPr>
          <w:spacing w:val="-2"/>
          <w:w w:val="105"/>
        </w:rPr>
        <w:t>2023.</w:t>
      </w:r>
    </w:p>
    <w:p>
      <w:pPr>
        <w:pStyle w:val="BodyText"/>
        <w:spacing w:line="261" w:lineRule="auto" w:before="99"/>
        <w:ind w:left="658" w:right="570"/>
      </w:pPr>
      <w:r>
        <w:rPr>
          <w:w w:val="105"/>
        </w:rPr>
        <w:t>Ran</w:t>
      </w:r>
      <w:r>
        <w:rPr>
          <w:spacing w:val="-4"/>
          <w:w w:val="105"/>
        </w:rPr>
        <w:t> </w:t>
      </w:r>
      <w:r>
        <w:rPr>
          <w:w w:val="105"/>
        </w:rPr>
        <w:t>a</w:t>
      </w:r>
      <w:r>
        <w:rPr>
          <w:spacing w:val="-4"/>
          <w:w w:val="105"/>
        </w:rPr>
        <w:t> </w:t>
      </w:r>
      <w:r>
        <w:rPr>
          <w:w w:val="105"/>
        </w:rPr>
        <w:t>529</w:t>
      </w:r>
      <w:r>
        <w:rPr>
          <w:spacing w:val="-4"/>
          <w:w w:val="105"/>
        </w:rPr>
        <w:t> </w:t>
      </w:r>
      <w:r>
        <w:rPr>
          <w:w w:val="105"/>
        </w:rPr>
        <w:t>planning</w:t>
      </w:r>
      <w:r>
        <w:rPr>
          <w:spacing w:val="-4"/>
          <w:w w:val="105"/>
        </w:rPr>
        <w:t> </w:t>
      </w:r>
      <w:r>
        <w:rPr>
          <w:w w:val="105"/>
        </w:rPr>
        <w:t>process</w:t>
      </w:r>
      <w:r>
        <w:rPr>
          <w:spacing w:val="-4"/>
          <w:w w:val="105"/>
        </w:rPr>
        <w:t> </w:t>
      </w:r>
      <w:r>
        <w:rPr>
          <w:w w:val="105"/>
        </w:rPr>
        <w:t>for</w:t>
      </w:r>
      <w:r>
        <w:rPr>
          <w:spacing w:val="-4"/>
          <w:w w:val="105"/>
        </w:rPr>
        <w:t> </w:t>
      </w:r>
      <w:r>
        <w:rPr>
          <w:w w:val="105"/>
        </w:rPr>
        <w:t>41</w:t>
      </w:r>
      <w:r>
        <w:rPr>
          <w:spacing w:val="-4"/>
          <w:w w:val="105"/>
        </w:rPr>
        <w:t> </w:t>
      </w:r>
      <w:r>
        <w:rPr>
          <w:w w:val="105"/>
        </w:rPr>
        <w:t>households,</w:t>
      </w:r>
      <w:r>
        <w:rPr>
          <w:spacing w:val="-4"/>
          <w:w w:val="105"/>
        </w:rPr>
        <w:t> </w:t>
      </w:r>
      <w:r>
        <w:rPr>
          <w:w w:val="105"/>
        </w:rPr>
        <w:t>mapping</w:t>
      </w:r>
      <w:r>
        <w:rPr>
          <w:spacing w:val="-4"/>
          <w:w w:val="105"/>
        </w:rPr>
        <w:t> </w:t>
      </w:r>
      <w:r>
        <w:rPr>
          <w:w w:val="105"/>
        </w:rPr>
        <w:t>expected contributions against projected in-state and out-of-state costs.</w:t>
      </w:r>
    </w:p>
    <w:p>
      <w:pPr>
        <w:pStyle w:val="BodyText"/>
        <w:spacing w:line="278" w:lineRule="auto" w:before="104"/>
        <w:ind w:left="658" w:right="570"/>
      </w:pPr>
      <w:r>
        <w:rPr>
          <w:w w:val="105"/>
        </w:rPr>
        <w:t>Retained</w:t>
      </w:r>
      <w:r>
        <w:rPr>
          <w:spacing w:val="-7"/>
          <w:w w:val="105"/>
        </w:rPr>
        <w:t> </w:t>
      </w:r>
      <w:r>
        <w:rPr>
          <w:w w:val="105"/>
        </w:rPr>
        <w:t>97%</w:t>
      </w:r>
      <w:r>
        <w:rPr>
          <w:spacing w:val="-7"/>
          <w:w w:val="105"/>
        </w:rPr>
        <w:t> </w:t>
      </w:r>
      <w:r>
        <w:rPr>
          <w:w w:val="105"/>
        </w:rPr>
        <w:t>of</w:t>
      </w:r>
      <w:r>
        <w:rPr>
          <w:spacing w:val="-7"/>
          <w:w w:val="105"/>
        </w:rPr>
        <w:t> </w:t>
      </w:r>
      <w:r>
        <w:rPr>
          <w:w w:val="105"/>
        </w:rPr>
        <w:t>households</w:t>
      </w:r>
      <w:r>
        <w:rPr>
          <w:spacing w:val="-7"/>
          <w:w w:val="105"/>
        </w:rPr>
        <w:t> </w:t>
      </w:r>
      <w:r>
        <w:rPr>
          <w:w w:val="105"/>
        </w:rPr>
        <w:t>through</w:t>
      </w:r>
      <w:r>
        <w:rPr>
          <w:spacing w:val="-7"/>
          <w:w w:val="105"/>
        </w:rPr>
        <w:t> </w:t>
      </w:r>
      <w:r>
        <w:rPr>
          <w:w w:val="105"/>
        </w:rPr>
        <w:t>a</w:t>
      </w:r>
      <w:r>
        <w:rPr>
          <w:spacing w:val="-7"/>
          <w:w w:val="105"/>
        </w:rPr>
        <w:t> </w:t>
      </w:r>
      <w:r>
        <w:rPr>
          <w:w w:val="105"/>
        </w:rPr>
        <w:t>partner</w:t>
      </w:r>
      <w:r>
        <w:rPr>
          <w:spacing w:val="-7"/>
          <w:w w:val="105"/>
        </w:rPr>
        <w:t> </w:t>
      </w:r>
      <w:r>
        <w:rPr>
          <w:w w:val="105"/>
        </w:rPr>
        <w:t>departure</w:t>
      </w:r>
      <w:r>
        <w:rPr>
          <w:spacing w:val="-7"/>
          <w:w w:val="105"/>
        </w:rPr>
        <w:t> </w:t>
      </w:r>
      <w:r>
        <w:rPr>
          <w:w w:val="105"/>
        </w:rPr>
        <w:t>in</w:t>
      </w:r>
      <w:r>
        <w:rPr>
          <w:spacing w:val="-7"/>
          <w:w w:val="105"/>
        </w:rPr>
        <w:t> </w:t>
      </w:r>
      <w:r>
        <w:rPr>
          <w:w w:val="105"/>
        </w:rPr>
        <w:t>2022</w:t>
      </w:r>
      <w:r>
        <w:rPr>
          <w:spacing w:val="-7"/>
          <w:w w:val="105"/>
        </w:rPr>
        <w:t> </w:t>
      </w:r>
      <w:r>
        <w:rPr>
          <w:w w:val="105"/>
        </w:rPr>
        <w:t>by holding individual re-onboarding meetings within 45 days.</w:t>
      </w:r>
    </w:p>
    <w:p>
      <w:pPr>
        <w:pStyle w:val="BodyText"/>
      </w:pPr>
    </w:p>
    <w:p>
      <w:pPr>
        <w:pStyle w:val="BodyText"/>
        <w:spacing w:before="6"/>
      </w:pPr>
    </w:p>
    <w:p>
      <w:pPr>
        <w:pStyle w:val="BodyText"/>
        <w:spacing w:line="331" w:lineRule="auto"/>
        <w:ind w:left="100" w:right="1078"/>
      </w:pPr>
      <w:r>
        <w:rPr>
          <w:spacing w:val="-2"/>
          <w:w w:val="105"/>
        </w:rPr>
        <w:t>ASSOCIATE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ADVISOR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MERIDIAN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PRIVATE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WEALTH,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DENVER,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CO </w:t>
      </w:r>
      <w:r>
        <w:rPr>
          <w:w w:val="105"/>
        </w:rPr>
        <w:t>2017 – 2020</w:t>
      </w:r>
    </w:p>
    <w:p>
      <w:pPr>
        <w:pStyle w:val="BodyText"/>
        <w:spacing w:line="261" w:lineRule="auto" w:before="193"/>
        <w:ind w:left="658"/>
      </w:pPr>
      <w:r>
        <w:rPr>
          <w:w w:val="105"/>
        </w:rPr>
        <w:t>Supported</w:t>
      </w:r>
      <w:r>
        <w:rPr>
          <w:spacing w:val="-3"/>
          <w:w w:val="105"/>
        </w:rPr>
        <w:t> </w:t>
      </w:r>
      <w:r>
        <w:rPr>
          <w:w w:val="105"/>
        </w:rPr>
        <w:t>a</w:t>
      </w:r>
      <w:r>
        <w:rPr>
          <w:spacing w:val="-3"/>
          <w:w w:val="105"/>
        </w:rPr>
        <w:t> </w:t>
      </w:r>
      <w:r>
        <w:rPr>
          <w:w w:val="105"/>
        </w:rPr>
        <w:t>lead</w:t>
      </w:r>
      <w:r>
        <w:rPr>
          <w:spacing w:val="-3"/>
          <w:w w:val="105"/>
        </w:rPr>
        <w:t> </w:t>
      </w:r>
      <w:r>
        <w:rPr>
          <w:w w:val="105"/>
        </w:rPr>
        <w:t>advisor</w:t>
      </w:r>
      <w:r>
        <w:rPr>
          <w:spacing w:val="-3"/>
          <w:w w:val="105"/>
        </w:rPr>
        <w:t> </w:t>
      </w:r>
      <w:r>
        <w:rPr>
          <w:w w:val="105"/>
        </w:rPr>
        <w:t>with</w:t>
      </w:r>
      <w:r>
        <w:rPr>
          <w:spacing w:val="-3"/>
          <w:w w:val="105"/>
        </w:rPr>
        <w:t> </w:t>
      </w:r>
      <w:r>
        <w:rPr>
          <w:w w:val="105"/>
        </w:rPr>
        <w:t>a</w:t>
      </w:r>
      <w:r>
        <w:rPr>
          <w:spacing w:val="-3"/>
          <w:w w:val="105"/>
        </w:rPr>
        <w:t> </w:t>
      </w:r>
      <w:r>
        <w:rPr>
          <w:w w:val="105"/>
        </w:rPr>
        <w:t>$190M</w:t>
      </w:r>
      <w:r>
        <w:rPr>
          <w:spacing w:val="-3"/>
          <w:w w:val="105"/>
        </w:rPr>
        <w:t> </w:t>
      </w:r>
      <w:r>
        <w:rPr>
          <w:w w:val="105"/>
        </w:rPr>
        <w:t>book,</w:t>
      </w:r>
      <w:r>
        <w:rPr>
          <w:spacing w:val="-3"/>
          <w:w w:val="105"/>
        </w:rPr>
        <w:t> </w:t>
      </w:r>
      <w:r>
        <w:rPr>
          <w:w w:val="105"/>
        </w:rPr>
        <w:t>preparing</w:t>
      </w:r>
      <w:r>
        <w:rPr>
          <w:spacing w:val="-3"/>
          <w:w w:val="105"/>
        </w:rPr>
        <w:t> </w:t>
      </w:r>
      <w:r>
        <w:rPr>
          <w:w w:val="105"/>
        </w:rPr>
        <w:t>plans</w:t>
      </w:r>
      <w:r>
        <w:rPr>
          <w:spacing w:val="-3"/>
          <w:w w:val="105"/>
        </w:rPr>
        <w:t> </w:t>
      </w:r>
      <w:r>
        <w:rPr>
          <w:w w:val="105"/>
        </w:rPr>
        <w:t>and</w:t>
      </w:r>
      <w:r>
        <w:rPr>
          <w:spacing w:val="-3"/>
          <w:w w:val="105"/>
        </w:rPr>
        <w:t> </w:t>
      </w:r>
      <w:r>
        <w:rPr>
          <w:w w:val="105"/>
        </w:rPr>
        <w:t>running Monte Carlo analyses in MoneyGuidePro.</w:t>
      </w:r>
    </w:p>
    <w:p>
      <w:pPr>
        <w:pStyle w:val="BodyText"/>
        <w:spacing w:line="261" w:lineRule="auto" w:before="104"/>
        <w:ind w:left="658"/>
      </w:pPr>
      <w:r>
        <w:rPr>
          <w:w w:val="105"/>
        </w:rPr>
        <w:t>Led</w:t>
      </w:r>
      <w:r>
        <w:rPr>
          <w:spacing w:val="-10"/>
          <w:w w:val="105"/>
        </w:rPr>
        <w:t> </w:t>
      </w:r>
      <w:r>
        <w:rPr>
          <w:w w:val="105"/>
        </w:rPr>
        <w:t>the</w:t>
      </w:r>
      <w:r>
        <w:rPr>
          <w:spacing w:val="-10"/>
          <w:w w:val="105"/>
        </w:rPr>
        <w:t> </w:t>
      </w:r>
      <w:r>
        <w:rPr>
          <w:w w:val="105"/>
        </w:rPr>
        <w:t>CRM</w:t>
      </w:r>
      <w:r>
        <w:rPr>
          <w:spacing w:val="-10"/>
          <w:w w:val="105"/>
        </w:rPr>
        <w:t> </w:t>
      </w:r>
      <w:r>
        <w:rPr>
          <w:w w:val="105"/>
        </w:rPr>
        <w:t>migration</w:t>
      </w:r>
      <w:r>
        <w:rPr>
          <w:spacing w:val="-10"/>
          <w:w w:val="105"/>
        </w:rPr>
        <w:t> </w:t>
      </w:r>
      <w:r>
        <w:rPr>
          <w:w w:val="105"/>
        </w:rPr>
        <w:t>from</w:t>
      </w:r>
      <w:r>
        <w:rPr>
          <w:spacing w:val="-10"/>
          <w:w w:val="105"/>
        </w:rPr>
        <w:t> </w:t>
      </w:r>
      <w:r>
        <w:rPr>
          <w:w w:val="105"/>
        </w:rPr>
        <w:t>Junxure</w:t>
      </w:r>
      <w:r>
        <w:rPr>
          <w:spacing w:val="-10"/>
          <w:w w:val="105"/>
        </w:rPr>
        <w:t> </w:t>
      </w:r>
      <w:r>
        <w:rPr>
          <w:w w:val="105"/>
        </w:rPr>
        <w:t>to</w:t>
      </w:r>
      <w:r>
        <w:rPr>
          <w:spacing w:val="-10"/>
          <w:w w:val="105"/>
        </w:rPr>
        <w:t> </w:t>
      </w:r>
      <w:r>
        <w:rPr>
          <w:w w:val="105"/>
        </w:rPr>
        <w:t>Redtail</w:t>
      </w:r>
      <w:r>
        <w:rPr>
          <w:spacing w:val="-10"/>
          <w:w w:val="105"/>
        </w:rPr>
        <w:t> </w:t>
      </w:r>
      <w:r>
        <w:rPr>
          <w:w w:val="105"/>
        </w:rPr>
        <w:t>across</w:t>
      </w:r>
      <w:r>
        <w:rPr>
          <w:spacing w:val="-10"/>
          <w:w w:val="105"/>
        </w:rPr>
        <w:t> </w:t>
      </w:r>
      <w:r>
        <w:rPr>
          <w:w w:val="105"/>
        </w:rPr>
        <w:t>340</w:t>
      </w:r>
      <w:r>
        <w:rPr>
          <w:spacing w:val="-10"/>
          <w:w w:val="105"/>
        </w:rPr>
        <w:t> </w:t>
      </w:r>
      <w:r>
        <w:rPr>
          <w:w w:val="105"/>
        </w:rPr>
        <w:t>client</w:t>
      </w:r>
      <w:r>
        <w:rPr>
          <w:spacing w:val="-10"/>
          <w:w w:val="105"/>
        </w:rPr>
        <w:t> </w:t>
      </w:r>
      <w:r>
        <w:rPr>
          <w:w w:val="105"/>
        </w:rPr>
        <w:t>records, cleaning duplicates and standardizing household groupings.</w:t>
      </w:r>
    </w:p>
    <w:p>
      <w:pPr>
        <w:pStyle w:val="BodyText"/>
        <w:spacing w:line="278" w:lineRule="auto" w:before="104"/>
        <w:ind w:left="658" w:right="570"/>
      </w:pPr>
      <w:r>
        <w:rPr>
          <w:w w:val="105"/>
        </w:rPr>
        <w:t>Earned</w:t>
      </w:r>
      <w:r>
        <w:rPr>
          <w:spacing w:val="-10"/>
          <w:w w:val="105"/>
        </w:rPr>
        <w:t> </w:t>
      </w:r>
      <w:r>
        <w:rPr>
          <w:w w:val="105"/>
        </w:rPr>
        <w:t>the</w:t>
      </w:r>
      <w:r>
        <w:rPr>
          <w:spacing w:val="-10"/>
          <w:w w:val="105"/>
        </w:rPr>
        <w:t> </w:t>
      </w:r>
      <w:r>
        <w:rPr>
          <w:w w:val="105"/>
        </w:rPr>
        <w:t>CFP</w:t>
      </w:r>
      <w:r>
        <w:rPr>
          <w:spacing w:val="-10"/>
          <w:w w:val="105"/>
        </w:rPr>
        <w:t> </w:t>
      </w:r>
      <w:r>
        <w:rPr>
          <w:w w:val="105"/>
        </w:rPr>
        <w:t>designation</w:t>
      </w:r>
      <w:r>
        <w:rPr>
          <w:spacing w:val="-10"/>
          <w:w w:val="105"/>
        </w:rPr>
        <w:t> </w:t>
      </w:r>
      <w:r>
        <w:rPr>
          <w:w w:val="105"/>
        </w:rPr>
        <w:t>in</w:t>
      </w:r>
      <w:r>
        <w:rPr>
          <w:spacing w:val="-10"/>
          <w:w w:val="105"/>
        </w:rPr>
        <w:t> </w:t>
      </w:r>
      <w:r>
        <w:rPr>
          <w:w w:val="105"/>
        </w:rPr>
        <w:t>2019</w:t>
      </w:r>
      <w:r>
        <w:rPr>
          <w:spacing w:val="-10"/>
          <w:w w:val="105"/>
        </w:rPr>
        <w:t> </w:t>
      </w:r>
      <w:r>
        <w:rPr>
          <w:w w:val="105"/>
        </w:rPr>
        <w:t>after</w:t>
      </w:r>
      <w:r>
        <w:rPr>
          <w:spacing w:val="-10"/>
          <w:w w:val="105"/>
        </w:rPr>
        <w:t> </w:t>
      </w:r>
      <w:r>
        <w:rPr>
          <w:w w:val="105"/>
        </w:rPr>
        <w:t>completing</w:t>
      </w:r>
      <w:r>
        <w:rPr>
          <w:spacing w:val="-10"/>
          <w:w w:val="105"/>
        </w:rPr>
        <w:t> </w:t>
      </w:r>
      <w:r>
        <w:rPr>
          <w:w w:val="105"/>
        </w:rPr>
        <w:t>the</w:t>
      </w:r>
      <w:r>
        <w:rPr>
          <w:spacing w:val="-10"/>
          <w:w w:val="105"/>
        </w:rPr>
        <w:t> </w:t>
      </w:r>
      <w:r>
        <w:rPr>
          <w:w w:val="105"/>
        </w:rPr>
        <w:t>coursework through the College for Financial Planning.</w:t>
      </w:r>
    </w:p>
    <w:sectPr>
      <w:type w:val="continuous"/>
      <w:pgSz w:w="11920" w:h="16860"/>
      <w:pgMar w:top="0" w:bottom="280" w:left="141" w:right="283"/>
      <w:cols w:num="2" w:equalWidth="0">
        <w:col w:w="3891" w:space="536"/>
        <w:col w:w="7069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4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732" w:hanging="30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55" w:hanging="30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70" w:hanging="30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685" w:hanging="30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000" w:hanging="30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315" w:hanging="30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630" w:hanging="30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945" w:hanging="30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260" w:hanging="304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100"/>
      <w:outlineLvl w:val="1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84"/>
      <w:ind w:left="4415"/>
      <w:outlineLvl w:val="2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23"/>
      <w:ind w:left="732" w:hanging="304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mailto:elena.vasquez@example.com" TargetMode="External"/><Relationship Id="rId8" Type="http://schemas.openxmlformats.org/officeDocument/2006/relationships/image" Target="media/image3.png"/><Relationship Id="rId9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2026-09-21T16:26:14Z</dcterms:created>
  <dcterms:modified xsi:type="dcterms:W3CDTF">2026-09-21T16:26:14Z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2026-09-21T00:00:00Z</vt:filetime>
  </property>
  <property fmtid="{D5CDD505-2E9C-101B-9397-08002B2CF9AE}" pid="5" name="Producer">
    <vt:lpwstr>Skia/PDF m121</vt:lpwstr>
  </property>
</Properties>
</file>