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ragraph">
                  <wp:posOffset>-600731</wp:posOffset>
                </wp:positionV>
                <wp:extent cx="2571750" cy="24955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71750" cy="2495550"/>
                          <a:chExt cx="2571750" cy="24955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86AF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571750" cy="2495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59"/>
                                </w:rPr>
                              </w:pPr>
                            </w:p>
                            <w:p>
                              <w:pPr>
                                <w:spacing w:line="240" w:lineRule="auto" w:before="219"/>
                                <w:rPr>
                                  <w:sz w:val="5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" w:right="0" w:firstLine="0"/>
                                <w:jc w:val="center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59"/>
                                </w:rPr>
                                <w:t>CP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47.301727pt;width:202.5pt;height:196.5pt;mso-position-horizontal-relative:page;mso-position-vertical-relative:paragraph;z-index:15730688" id="docshapegroup1" coordorigin="0,-946" coordsize="4050,3930">
                <v:shape style="position:absolute;left:0;top:-947;width:4050;height:3930" id="docshape2" coordorigin="0,-946" coordsize="4050,3930" path="m0,2984l0,-946,4050,-946,0,2984xe" filled="true" fillcolor="#ffffff" stroked="false">
                  <v:path arrowok="t"/>
                  <v:fill type="solid"/>
                </v:shape>
                <v:shape style="position:absolute;left:0;top:-947;width:4050;height:3930" id="docshape3" coordorigin="0,-946" coordsize="4050,3930" path="m0,2984l0,-946,4050,-946,0,2984xe" filled="true" fillcolor="#8f86af" stroked="false">
                  <v:path arrowok="t"/>
                  <v:fill opacity="32899f" type="solid"/>
                </v:shape>
                <v:shape style="position:absolute;left:915;top:-77;width:2215;height:2205" type="#_x0000_t75" id="docshape4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-947;width:4050;height:3930" type="#_x0000_t202" id="docshape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59"/>
                          </w:rPr>
                        </w:pPr>
                      </w:p>
                      <w:p>
                        <w:pPr>
                          <w:spacing w:line="240" w:lineRule="auto" w:before="219"/>
                          <w:rPr>
                            <w:sz w:val="59"/>
                          </w:rPr>
                        </w:pPr>
                      </w:p>
                      <w:p>
                        <w:pPr>
                          <w:spacing w:before="0"/>
                          <w:ind w:left="4" w:right="0" w:firstLine="0"/>
                          <w:jc w:val="center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59"/>
                          </w:rPr>
                          <w:t>CP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40404"/>
        </w:rPr>
        <w:t>Carolyn</w:t>
      </w:r>
      <w:r>
        <w:rPr>
          <w:color w:val="040404"/>
          <w:spacing w:val="-32"/>
        </w:rPr>
        <w:t> </w:t>
      </w:r>
      <w:r>
        <w:rPr>
          <w:color w:val="040404"/>
          <w:spacing w:val="-2"/>
        </w:rPr>
        <w:t>Parker</w:t>
      </w:r>
    </w:p>
    <w:p>
      <w:pPr>
        <w:spacing w:before="259"/>
        <w:ind w:left="4340" w:right="234" w:firstLine="0"/>
        <w:jc w:val="center"/>
        <w:rPr>
          <w:sz w:val="18"/>
        </w:rPr>
      </w:pPr>
      <w:r>
        <w:rPr>
          <w:color w:val="040404"/>
          <w:sz w:val="18"/>
        </w:rPr>
        <w:t>Cyber</w:t>
      </w:r>
      <w:r>
        <w:rPr>
          <w:color w:val="040404"/>
          <w:spacing w:val="13"/>
          <w:sz w:val="18"/>
        </w:rPr>
        <w:t> </w:t>
      </w:r>
      <w:r>
        <w:rPr>
          <w:color w:val="040404"/>
          <w:sz w:val="18"/>
        </w:rPr>
        <w:t>Security</w:t>
      </w:r>
      <w:r>
        <w:rPr>
          <w:color w:val="040404"/>
          <w:spacing w:val="1"/>
          <w:sz w:val="18"/>
        </w:rPr>
        <w:t> </w:t>
      </w:r>
      <w:r>
        <w:rPr>
          <w:color w:val="040404"/>
          <w:spacing w:val="-2"/>
          <w:sz w:val="18"/>
        </w:rPr>
        <w:t>Analyst</w:t>
      </w:r>
    </w:p>
    <w:p>
      <w:pPr>
        <w:pStyle w:val="BodyText"/>
        <w:spacing w:before="6"/>
        <w:rPr>
          <w:sz w:val="18"/>
        </w:rPr>
      </w:pPr>
    </w:p>
    <w:p>
      <w:pPr>
        <w:spacing w:line="261" w:lineRule="auto" w:before="0"/>
        <w:ind w:left="4341" w:right="232" w:firstLine="0"/>
        <w:jc w:val="center"/>
        <w:rPr>
          <w:sz w:val="18"/>
        </w:rPr>
      </w:pPr>
      <w:r>
        <w:rPr>
          <w:color w:val="040404"/>
          <w:w w:val="105"/>
          <w:sz w:val="18"/>
        </w:rPr>
        <w:t>SOC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manager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with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12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years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in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security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operations,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including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5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years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running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24/7 teams.</w:t>
      </w:r>
      <w:r>
        <w:rPr>
          <w:color w:val="040404"/>
          <w:spacing w:val="-1"/>
          <w:w w:val="105"/>
          <w:sz w:val="18"/>
        </w:rPr>
        <w:t> </w:t>
      </w:r>
      <w:r>
        <w:rPr>
          <w:color w:val="040404"/>
          <w:w w:val="105"/>
          <w:sz w:val="18"/>
        </w:rPr>
        <w:t>Built</w:t>
      </w:r>
      <w:r>
        <w:rPr>
          <w:color w:val="040404"/>
          <w:spacing w:val="-1"/>
          <w:w w:val="105"/>
          <w:sz w:val="18"/>
        </w:rPr>
        <w:t> </w:t>
      </w:r>
      <w:r>
        <w:rPr>
          <w:color w:val="040404"/>
          <w:w w:val="105"/>
          <w:sz w:val="18"/>
        </w:rPr>
        <w:t>two</w:t>
      </w:r>
      <w:r>
        <w:rPr>
          <w:color w:val="040404"/>
          <w:spacing w:val="-1"/>
          <w:w w:val="105"/>
          <w:sz w:val="18"/>
        </w:rPr>
        <w:t> </w:t>
      </w:r>
      <w:r>
        <w:rPr>
          <w:color w:val="040404"/>
          <w:w w:val="105"/>
          <w:sz w:val="18"/>
        </w:rPr>
        <w:t>SOCs</w:t>
      </w:r>
      <w:r>
        <w:rPr>
          <w:color w:val="040404"/>
          <w:spacing w:val="-1"/>
          <w:w w:val="105"/>
          <w:sz w:val="18"/>
        </w:rPr>
        <w:t> </w:t>
      </w:r>
      <w:r>
        <w:rPr>
          <w:color w:val="040404"/>
          <w:w w:val="105"/>
          <w:sz w:val="18"/>
        </w:rPr>
        <w:t>from</w:t>
      </w:r>
      <w:r>
        <w:rPr>
          <w:color w:val="040404"/>
          <w:spacing w:val="-1"/>
          <w:w w:val="105"/>
          <w:sz w:val="18"/>
        </w:rPr>
        <w:t> </w:t>
      </w:r>
      <w:r>
        <w:rPr>
          <w:color w:val="040404"/>
          <w:w w:val="105"/>
          <w:sz w:val="18"/>
        </w:rPr>
        <w:t>a</w:t>
      </w:r>
      <w:r>
        <w:rPr>
          <w:color w:val="040404"/>
          <w:spacing w:val="-1"/>
          <w:w w:val="105"/>
          <w:sz w:val="18"/>
        </w:rPr>
        <w:t> </w:t>
      </w:r>
      <w:r>
        <w:rPr>
          <w:color w:val="040404"/>
          <w:w w:val="105"/>
          <w:sz w:val="18"/>
        </w:rPr>
        <w:t>handful</w:t>
      </w:r>
      <w:r>
        <w:rPr>
          <w:color w:val="040404"/>
          <w:spacing w:val="-1"/>
          <w:w w:val="105"/>
          <w:sz w:val="18"/>
        </w:rPr>
        <w:t> </w:t>
      </w:r>
      <w:r>
        <w:rPr>
          <w:color w:val="040404"/>
          <w:w w:val="105"/>
          <w:sz w:val="18"/>
        </w:rPr>
        <w:t>of</w:t>
      </w:r>
      <w:r>
        <w:rPr>
          <w:color w:val="040404"/>
          <w:spacing w:val="-1"/>
          <w:w w:val="105"/>
          <w:sz w:val="18"/>
        </w:rPr>
        <w:t> </w:t>
      </w:r>
      <w:r>
        <w:rPr>
          <w:color w:val="040404"/>
          <w:w w:val="105"/>
          <w:sz w:val="18"/>
        </w:rPr>
        <w:t>analysts</w:t>
      </w:r>
      <w:r>
        <w:rPr>
          <w:color w:val="040404"/>
          <w:spacing w:val="-1"/>
          <w:w w:val="105"/>
          <w:sz w:val="18"/>
        </w:rPr>
        <w:t> </w:t>
      </w:r>
      <w:r>
        <w:rPr>
          <w:color w:val="040404"/>
          <w:w w:val="105"/>
          <w:sz w:val="18"/>
        </w:rPr>
        <w:t>to</w:t>
      </w:r>
      <w:r>
        <w:rPr>
          <w:color w:val="040404"/>
          <w:spacing w:val="-1"/>
          <w:w w:val="105"/>
          <w:sz w:val="18"/>
        </w:rPr>
        <w:t> </w:t>
      </w:r>
      <w:r>
        <w:rPr>
          <w:color w:val="040404"/>
          <w:w w:val="105"/>
          <w:sz w:val="18"/>
        </w:rPr>
        <w:t>follow-the-sun</w:t>
      </w:r>
      <w:r>
        <w:rPr>
          <w:color w:val="040404"/>
          <w:spacing w:val="-1"/>
          <w:w w:val="105"/>
          <w:sz w:val="18"/>
        </w:rPr>
        <w:t> </w:t>
      </w:r>
      <w:r>
        <w:rPr>
          <w:color w:val="040404"/>
          <w:w w:val="105"/>
          <w:sz w:val="18"/>
        </w:rPr>
        <w:t>coverage.</w:t>
      </w:r>
    </w:p>
    <w:p>
      <w:pPr>
        <w:spacing w:line="278" w:lineRule="auto" w:before="14"/>
        <w:ind w:left="4340" w:right="232" w:firstLine="0"/>
        <w:jc w:val="center"/>
        <w:rPr>
          <w:sz w:val="18"/>
        </w:rPr>
      </w:pPr>
      <w:r>
        <w:rPr>
          <w:color w:val="040404"/>
          <w:w w:val="105"/>
          <w:sz w:val="18"/>
        </w:rPr>
        <w:t>Focus</w:t>
      </w:r>
      <w:r>
        <w:rPr>
          <w:color w:val="040404"/>
          <w:spacing w:val="-14"/>
          <w:w w:val="105"/>
          <w:sz w:val="18"/>
        </w:rPr>
        <w:t> </w:t>
      </w:r>
      <w:r>
        <w:rPr>
          <w:color w:val="040404"/>
          <w:w w:val="105"/>
          <w:sz w:val="18"/>
        </w:rPr>
        <w:t>on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detection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engineering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discipline,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analyst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retention,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and</w:t>
      </w:r>
      <w:r>
        <w:rPr>
          <w:color w:val="040404"/>
          <w:spacing w:val="-14"/>
          <w:w w:val="105"/>
          <w:sz w:val="18"/>
        </w:rPr>
        <w:t> </w:t>
      </w:r>
      <w:r>
        <w:rPr>
          <w:color w:val="040404"/>
          <w:w w:val="105"/>
          <w:sz w:val="18"/>
        </w:rPr>
        <w:t>honest</w:t>
      </w:r>
      <w:r>
        <w:rPr>
          <w:color w:val="040404"/>
          <w:spacing w:val="-13"/>
          <w:w w:val="105"/>
          <w:sz w:val="18"/>
        </w:rPr>
        <w:t> </w:t>
      </w:r>
      <w:r>
        <w:rPr>
          <w:color w:val="040404"/>
          <w:w w:val="105"/>
          <w:sz w:val="18"/>
        </w:rPr>
        <w:t>metrics reported to executives.</w:t>
      </w:r>
    </w:p>
    <w:p>
      <w:pPr>
        <w:pStyle w:val="BodyText"/>
        <w:spacing w:before="11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2819399</wp:posOffset>
                </wp:positionH>
                <wp:positionV relativeFrom="paragraph">
                  <wp:posOffset>231231</wp:posOffset>
                </wp:positionV>
                <wp:extent cx="4619625" cy="952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18.207241pt;width:363.749971pt;height:.75pt;mso-position-horizontal-relative:page;mso-position-vertical-relative:paragraph;z-index:-15728640;mso-wrap-distance-left:0;mso-wrap-distance-right:0" id="docshape6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0" w:right="141"/>
        </w:sectPr>
      </w:pPr>
    </w:p>
    <w:p>
      <w:pPr>
        <w:pStyle w:val="Heading3"/>
        <w:spacing w:before="16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77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86A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-15818752" id="docshape7" filled="true" fillcolor="#8f86af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687" w:right="0" w:firstLine="0"/>
        <w:jc w:val="left"/>
        <w:rPr>
          <w:sz w:val="18"/>
        </w:rPr>
      </w:pPr>
      <w:r>
        <w:rPr>
          <w:color w:val="FFFFFF"/>
          <w:sz w:val="18"/>
        </w:rPr>
        <w:t>Alpharetta,</w:t>
      </w:r>
      <w:r>
        <w:rPr>
          <w:color w:val="FFFFFF"/>
          <w:spacing w:val="17"/>
          <w:sz w:val="18"/>
        </w:rPr>
        <w:t> </w:t>
      </w:r>
      <w:r>
        <w:rPr>
          <w:color w:val="FFFFFF"/>
          <w:spacing w:val="-5"/>
          <w:sz w:val="18"/>
        </w:rPr>
        <w:t>GA</w:t>
      </w:r>
    </w:p>
    <w:p>
      <w:pPr>
        <w:pStyle w:val="BodyText"/>
        <w:spacing w:before="6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438149</wp:posOffset>
                </wp:positionH>
                <wp:positionV relativeFrom="paragraph">
                  <wp:posOffset>99729</wp:posOffset>
                </wp:positionV>
                <wp:extent cx="1076325" cy="9525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0763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6325" h="9525">
                              <a:moveTo>
                                <a:pt x="10763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1076324" y="0"/>
                              </a:lnTo>
                              <a:lnTo>
                                <a:pt x="10763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499996pt;margin-top:7.85273pt;width:84.749993pt;height:.75pt;mso-position-horizontal-relative:page;mso-position-vertical-relative:paragraph;z-index:-15728128;mso-wrap-distance-left:0;mso-wrap-distance-right:0" id="docshape8" filled="true" fillcolor="#ffffff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687" w:right="0" w:firstLine="0"/>
        <w:jc w:val="left"/>
        <w:rPr>
          <w:sz w:val="18"/>
        </w:rPr>
      </w:pPr>
      <w:r>
        <w:rPr>
          <w:color w:val="FFFFFF"/>
          <w:sz w:val="18"/>
        </w:rPr>
        <w:t>(770)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0104</w:t>
      </w:r>
    </w:p>
    <w:p>
      <w:pPr>
        <w:pStyle w:val="BodyText"/>
        <w:spacing w:before="6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438149</wp:posOffset>
                </wp:positionH>
                <wp:positionV relativeFrom="paragraph">
                  <wp:posOffset>99717</wp:posOffset>
                </wp:positionV>
                <wp:extent cx="1076325" cy="952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0763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6325" h="9525">
                              <a:moveTo>
                                <a:pt x="10763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1076324" y="0"/>
                              </a:lnTo>
                              <a:lnTo>
                                <a:pt x="10763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499996pt;margin-top:7.851754pt;width:84.749993pt;height:.75pt;mso-position-horizontal-relative:page;mso-position-vertical-relative:paragraph;z-index:-15727616;mso-wrap-distance-left:0;mso-wrap-distance-right:0" id="docshape9" filled="true" fillcolor="#ffffff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687" w:right="0" w:firstLine="0"/>
        <w:jc w:val="left"/>
        <w:rPr>
          <w:sz w:val="18"/>
        </w:rPr>
      </w:pPr>
      <w:hyperlink r:id="rId6">
        <w:r>
          <w:rPr>
            <w:color w:val="FFFFFF"/>
            <w:spacing w:val="-2"/>
            <w:w w:val="105"/>
            <w:sz w:val="18"/>
          </w:rPr>
          <w:t>damon.ackerley@example.com</w:t>
        </w:r>
      </w:hyperlink>
    </w:p>
    <w:p>
      <w:pPr>
        <w:pStyle w:val="BodyText"/>
        <w:spacing w:before="144"/>
        <w:rPr>
          <w:sz w:val="18"/>
        </w:rPr>
      </w:pPr>
    </w:p>
    <w:p>
      <w:pPr>
        <w:pStyle w:val="Heading2"/>
        <w:spacing w:before="1"/>
      </w:pPr>
      <w:r>
        <w:rPr>
          <w:color w:val="FFFFFF"/>
          <w:spacing w:val="-2"/>
        </w:rPr>
        <w:t>Education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98"/>
        <w:rPr>
          <w:b/>
          <w:sz w:val="24"/>
        </w:rPr>
      </w:pPr>
    </w:p>
    <w:p>
      <w:pPr>
        <w:spacing w:line="261" w:lineRule="auto" w:before="0"/>
        <w:ind w:left="687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M.S.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Information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Security,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Georgia </w:t>
      </w:r>
      <w:r>
        <w:rPr>
          <w:color w:val="FFFFFF"/>
          <w:w w:val="105"/>
          <w:sz w:val="18"/>
        </w:rPr>
        <w:t>Institute of Technology, 2016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8"/>
        <w:rPr>
          <w:sz w:val="18"/>
        </w:rPr>
      </w:pPr>
    </w:p>
    <w:p>
      <w:pPr>
        <w:spacing w:line="278" w:lineRule="auto" w:before="0"/>
        <w:ind w:left="687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B.S.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Computer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Engineering,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Auburn </w:t>
      </w:r>
      <w:r>
        <w:rPr>
          <w:color w:val="FFFFFF"/>
          <w:w w:val="105"/>
          <w:sz w:val="18"/>
        </w:rPr>
        <w:t>University, 2013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23"/>
        <w:rPr>
          <w:sz w:val="18"/>
        </w:rPr>
      </w:pPr>
    </w:p>
    <w:p>
      <w:pPr>
        <w:spacing w:line="268" w:lineRule="auto" w:before="1"/>
        <w:ind w:left="687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GIAC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Security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Essentials,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Certiﬁed </w:t>
      </w:r>
      <w:r>
        <w:rPr>
          <w:color w:val="FFFFFF"/>
          <w:w w:val="105"/>
          <w:sz w:val="18"/>
        </w:rPr>
        <w:t>Information Systems Security </w:t>
      </w:r>
      <w:r>
        <w:rPr>
          <w:color w:val="FFFFFF"/>
          <w:spacing w:val="-2"/>
          <w:w w:val="105"/>
          <w:sz w:val="18"/>
        </w:rPr>
        <w:t>Professional</w:t>
      </w:r>
    </w:p>
    <w:p>
      <w:pPr>
        <w:pStyle w:val="BodyText"/>
        <w:spacing w:before="31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tabs>
          <w:tab w:pos="985" w:val="left" w:leader="none"/>
        </w:tabs>
        <w:spacing w:line="278" w:lineRule="auto" w:before="185"/>
        <w:ind w:left="985" w:right="38" w:hanging="296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SOC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operations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leadership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(Tier 1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through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detection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engineering)</w:t>
      </w:r>
    </w:p>
    <w:p>
      <w:pPr>
        <w:tabs>
          <w:tab w:pos="985" w:val="left" w:leader="none"/>
        </w:tabs>
        <w:spacing w:line="278" w:lineRule="auto" w:before="75"/>
        <w:ind w:left="985" w:right="120" w:hanging="296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  <w:sz w:val="18"/>
        </w:rPr>
        <w:t>Log platform strategy across </w:t>
      </w:r>
      <w:r>
        <w:rPr>
          <w:color w:val="FFFFFF"/>
          <w:spacing w:val="-2"/>
          <w:w w:val="105"/>
          <w:sz w:val="18"/>
        </w:rPr>
        <w:t>Splunk,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Sentinel,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Chronicle</w:t>
      </w:r>
    </w:p>
    <w:p>
      <w:pPr>
        <w:tabs>
          <w:tab w:pos="985" w:val="left" w:leader="none"/>
        </w:tabs>
        <w:spacing w:line="261" w:lineRule="auto" w:before="90"/>
        <w:ind w:left="985" w:right="69" w:hanging="296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Detection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engineering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programs </w:t>
      </w:r>
      <w:r>
        <w:rPr>
          <w:color w:val="FFFFFF"/>
          <w:w w:val="105"/>
          <w:sz w:val="18"/>
        </w:rPr>
        <w:t>and Sigma governance</w:t>
      </w:r>
    </w:p>
    <w:p>
      <w:pPr>
        <w:tabs>
          <w:tab w:pos="985" w:val="left" w:leader="none"/>
        </w:tabs>
        <w:spacing w:line="278" w:lineRule="auto" w:before="104"/>
        <w:ind w:left="985" w:right="265" w:hanging="296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w w:val="105"/>
          <w:sz w:val="18"/>
        </w:rPr>
        <w:t>Incident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w w:val="105"/>
          <w:sz w:val="18"/>
        </w:rPr>
        <w:t>response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w w:val="105"/>
          <w:sz w:val="18"/>
        </w:rPr>
        <w:t>leadership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executive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communication</w:t>
      </w:r>
    </w:p>
    <w:p>
      <w:pPr>
        <w:tabs>
          <w:tab w:pos="985" w:val="left" w:leader="none"/>
        </w:tabs>
        <w:spacing w:line="278" w:lineRule="auto" w:before="74"/>
        <w:ind w:left="985" w:right="203" w:hanging="296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Adversary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technique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coverage assessment</w:t>
      </w:r>
    </w:p>
    <w:p>
      <w:pPr>
        <w:tabs>
          <w:tab w:pos="985" w:val="left" w:leader="none"/>
        </w:tabs>
        <w:spacing w:line="261" w:lineRule="auto" w:before="90"/>
        <w:ind w:left="985" w:right="245" w:hanging="296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Budget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ownership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vendor negotiation</w:t>
      </w:r>
    </w:p>
    <w:p>
      <w:pPr>
        <w:tabs>
          <w:tab w:pos="985" w:val="left" w:leader="none"/>
        </w:tabs>
        <w:spacing w:line="261" w:lineRule="auto" w:before="104"/>
        <w:ind w:left="985" w:right="245" w:hanging="296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Hiring,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mentoring,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analyst </w:t>
      </w:r>
      <w:r>
        <w:rPr>
          <w:color w:val="FFFFFF"/>
          <w:w w:val="105"/>
          <w:sz w:val="18"/>
        </w:rPr>
        <w:t>career pathing</w:t>
      </w:r>
    </w:p>
    <w:p>
      <w:pPr>
        <w:tabs>
          <w:tab w:pos="985" w:val="left" w:leader="none"/>
        </w:tabs>
        <w:spacing w:before="104"/>
        <w:ind w:left="689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Purple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team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program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design</w:t>
      </w:r>
    </w:p>
    <w:p>
      <w:pPr>
        <w:tabs>
          <w:tab w:pos="985" w:val="left" w:leader="none"/>
        </w:tabs>
        <w:spacing w:line="278" w:lineRule="auto" w:before="123"/>
        <w:ind w:left="985" w:right="296" w:hanging="296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Regulatory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reporting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on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card-</w:t>
      </w:r>
      <w:r>
        <w:rPr>
          <w:color w:val="FFFFFF"/>
          <w:w w:val="105"/>
          <w:sz w:val="18"/>
        </w:rPr>
        <w:t>data controls, New York</w:t>
      </w:r>
    </w:p>
    <w:p>
      <w:pPr>
        <w:pStyle w:val="Heading2"/>
        <w:spacing w:before="62"/>
      </w:pPr>
      <w:r>
        <w:rPr>
          <w:b w:val="0"/>
        </w:rPr>
        <w:br w:type="column"/>
      </w:r>
      <w:r>
        <w:rPr>
          <w:color w:val="040404"/>
        </w:rPr>
        <w:t>Professional</w:t>
      </w:r>
      <w:r>
        <w:rPr>
          <w:color w:val="040404"/>
          <w:spacing w:val="-11"/>
        </w:rPr>
        <w:t> </w:t>
      </w:r>
      <w:r>
        <w:rPr>
          <w:color w:val="040404"/>
          <w:spacing w:val="-2"/>
        </w:rPr>
        <w:t>Experience</w:t>
      </w:r>
    </w:p>
    <w:p>
      <w:pPr>
        <w:pStyle w:val="BodyText"/>
        <w:spacing w:before="189"/>
        <w:ind w:left="594"/>
      </w:pPr>
      <w:r>
        <w:rPr>
          <w:spacing w:val="-2"/>
          <w:w w:val="105"/>
        </w:rPr>
        <w:t>SOC</w:t>
      </w:r>
      <w:r>
        <w:rPr>
          <w:w w:val="105"/>
        </w:rPr>
        <w:t> </w:t>
      </w:r>
      <w:r>
        <w:rPr>
          <w:spacing w:val="-2"/>
          <w:w w:val="105"/>
        </w:rPr>
        <w:t>Manager,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Cardinal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Ridge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Insurance,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Alpharetta,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GA</w:t>
      </w:r>
    </w:p>
    <w:p>
      <w:pPr>
        <w:pStyle w:val="BodyText"/>
        <w:spacing w:before="41"/>
        <w:ind w:left="594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BodyText"/>
        <w:tabs>
          <w:tab w:pos="1171" w:val="left" w:leader="none"/>
        </w:tabs>
        <w:spacing w:line="273" w:lineRule="auto"/>
        <w:ind w:left="1171" w:right="85" w:hanging="291"/>
      </w:pPr>
      <w:r>
        <w:rPr/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Lead a 19-person SOC (Tier 1, Tier 2, detection engineering, threat intel) covering a</w:t>
      </w:r>
      <w:r>
        <w:rPr>
          <w:w w:val="105"/>
        </w:rPr>
        <w:t> US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European</w:t>
      </w:r>
      <w:r>
        <w:rPr>
          <w:spacing w:val="-3"/>
          <w:w w:val="105"/>
        </w:rPr>
        <w:t> </w:t>
      </w:r>
      <w:r>
        <w:rPr>
          <w:w w:val="105"/>
        </w:rPr>
        <w:t>footprint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roughly</w:t>
      </w:r>
      <w:r>
        <w:rPr>
          <w:spacing w:val="-3"/>
          <w:w w:val="105"/>
        </w:rPr>
        <w:t> </w:t>
      </w:r>
      <w:r>
        <w:rPr>
          <w:w w:val="105"/>
        </w:rPr>
        <w:t>42,000</w:t>
      </w:r>
      <w:r>
        <w:rPr>
          <w:spacing w:val="-3"/>
          <w:w w:val="105"/>
        </w:rPr>
        <w:t> </w:t>
      </w:r>
      <w:r>
        <w:rPr>
          <w:w w:val="105"/>
        </w:rPr>
        <w:t>users</w:t>
      </w:r>
      <w:r>
        <w:rPr>
          <w:spacing w:val="-3"/>
          <w:w w:val="105"/>
        </w:rPr>
        <w:t> </w:t>
      </w:r>
      <w:r>
        <w:rPr>
          <w:w w:val="105"/>
        </w:rPr>
        <w:t>across</w:t>
      </w:r>
      <w:r>
        <w:rPr>
          <w:spacing w:val="-3"/>
          <w:w w:val="105"/>
        </w:rPr>
        <w:t> </w:t>
      </w:r>
      <w:r>
        <w:rPr>
          <w:w w:val="105"/>
        </w:rPr>
        <w:t>life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P&amp;C</w:t>
      </w:r>
      <w:r>
        <w:rPr>
          <w:spacing w:val="-3"/>
          <w:w w:val="105"/>
        </w:rPr>
        <w:t> </w:t>
      </w:r>
      <w:r>
        <w:rPr>
          <w:w w:val="105"/>
        </w:rPr>
        <w:t>business</w:t>
      </w:r>
      <w:r>
        <w:rPr>
          <w:spacing w:val="-3"/>
          <w:w w:val="105"/>
        </w:rPr>
        <w:t> </w:t>
      </w:r>
      <w:r>
        <w:rPr>
          <w:w w:val="105"/>
        </w:rPr>
        <w:t>lines.</w:t>
      </w:r>
    </w:p>
    <w:p>
      <w:pPr>
        <w:pStyle w:val="BodyText"/>
        <w:tabs>
          <w:tab w:pos="1171" w:val="left" w:leader="none"/>
        </w:tabs>
        <w:spacing w:line="273" w:lineRule="auto" w:before="90"/>
        <w:ind w:left="1171" w:right="178" w:hanging="291"/>
      </w:pPr>
      <w:r>
        <w:rPr/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Cut mean time to contain from 4.2 hours to 51 minutes over 18 months by rebuilding the on-call rotation, standing up a detection-engineering pod, and killing 200+ legacy Splunk rules with no true-positive history in 12 months.</w:t>
      </w:r>
    </w:p>
    <w:p>
      <w:pPr>
        <w:pStyle w:val="BodyText"/>
        <w:tabs>
          <w:tab w:pos="1171" w:val="left" w:leader="none"/>
        </w:tabs>
        <w:spacing w:line="273" w:lineRule="auto" w:before="91"/>
        <w:ind w:left="1171" w:right="153" w:hanging="291"/>
      </w:pPr>
      <w:r>
        <w:rPr/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Own the SOC's operating budget of $6.8M, including log platform licensing renegotiation that reduced ingestion cost per gigabyte by roughly a third after moving high-volume ﬁrewall logs to a cheaper tier.</w:t>
      </w:r>
    </w:p>
    <w:p>
      <w:pPr>
        <w:pStyle w:val="BodyText"/>
        <w:tabs>
          <w:tab w:pos="1171" w:val="left" w:leader="none"/>
        </w:tabs>
        <w:spacing w:line="273" w:lineRule="auto" w:before="106"/>
        <w:ind w:left="1171" w:right="178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Report monthly to the security chief and quarterly to the audit committee on detection coverage against the adversary technique framework, stafﬁng ratios, and top unresolved risks.</w:t>
      </w:r>
    </w:p>
    <w:p>
      <w:pPr>
        <w:pStyle w:val="BodyText"/>
        <w:tabs>
          <w:tab w:pos="1171" w:val="left" w:leader="none"/>
        </w:tabs>
        <w:spacing w:line="273" w:lineRule="auto" w:before="91"/>
        <w:ind w:left="1171" w:right="336" w:hanging="291"/>
      </w:pPr>
      <w:r>
        <w:rPr/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Kept</w:t>
      </w:r>
      <w:r>
        <w:rPr>
          <w:spacing w:val="-2"/>
          <w:w w:val="105"/>
        </w:rPr>
        <w:t> </w:t>
      </w:r>
      <w:r>
        <w:rPr>
          <w:w w:val="105"/>
        </w:rPr>
        <w:t>voluntary</w:t>
      </w:r>
      <w:r>
        <w:rPr>
          <w:spacing w:val="-2"/>
          <w:w w:val="105"/>
        </w:rPr>
        <w:t> </w:t>
      </w:r>
      <w:r>
        <w:rPr>
          <w:w w:val="105"/>
        </w:rPr>
        <w:t>attrition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team</w:t>
      </w:r>
      <w:r>
        <w:rPr>
          <w:spacing w:val="-2"/>
          <w:w w:val="105"/>
        </w:rPr>
        <w:t> </w:t>
      </w:r>
      <w:r>
        <w:rPr>
          <w:w w:val="105"/>
        </w:rPr>
        <w:t>under</w:t>
      </w:r>
      <w:r>
        <w:rPr>
          <w:spacing w:val="-2"/>
          <w:w w:val="105"/>
        </w:rPr>
        <w:t> </w:t>
      </w:r>
      <w:r>
        <w:rPr>
          <w:w w:val="105"/>
        </w:rPr>
        <w:t>8%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market</w:t>
      </w:r>
      <w:r>
        <w:rPr>
          <w:spacing w:val="-2"/>
          <w:w w:val="105"/>
        </w:rPr>
        <w:t> </w:t>
      </w:r>
      <w:r>
        <w:rPr>
          <w:w w:val="105"/>
        </w:rPr>
        <w:t>where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benchmark</w:t>
      </w:r>
      <w:r>
        <w:rPr>
          <w:spacing w:val="-2"/>
          <w:w w:val="105"/>
        </w:rPr>
        <w:t> </w:t>
      </w:r>
      <w:r>
        <w:rPr>
          <w:w w:val="105"/>
        </w:rPr>
        <w:t>ran closer to 20%, through a rotation program that moves analysts between hunt, detection, and incident response every 9 months.</w:t>
      </w:r>
    </w:p>
    <w:p>
      <w:pPr>
        <w:pStyle w:val="BodyText"/>
        <w:spacing w:before="86"/>
      </w:pPr>
    </w:p>
    <w:p>
      <w:pPr>
        <w:pStyle w:val="BodyText"/>
        <w:ind w:left="594"/>
      </w:pPr>
      <w:r>
        <w:rPr>
          <w:spacing w:val="-2"/>
          <w:w w:val="105"/>
        </w:rPr>
        <w:t>SOC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Team</w:t>
      </w:r>
      <w:r>
        <w:rPr>
          <w:w w:val="105"/>
        </w:rPr>
        <w:t> </w:t>
      </w:r>
      <w:r>
        <w:rPr>
          <w:spacing w:val="-2"/>
          <w:w w:val="105"/>
        </w:rPr>
        <w:t>Lead,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Beacon</w:t>
      </w:r>
      <w:r>
        <w:rPr>
          <w:w w:val="105"/>
        </w:rPr>
        <w:t> </w:t>
      </w:r>
      <w:r>
        <w:rPr>
          <w:spacing w:val="-2"/>
          <w:w w:val="105"/>
        </w:rPr>
        <w:t>Harbor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Logistics,</w:t>
      </w:r>
      <w:r>
        <w:rPr>
          <w:w w:val="105"/>
        </w:rPr>
        <w:t> </w:t>
      </w:r>
      <w:r>
        <w:rPr>
          <w:spacing w:val="-2"/>
          <w:w w:val="105"/>
        </w:rPr>
        <w:t>Marietta,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GA</w:t>
      </w:r>
    </w:p>
    <w:p>
      <w:pPr>
        <w:pStyle w:val="BodyText"/>
        <w:spacing w:before="56"/>
        <w:ind w:left="594"/>
      </w:pPr>
      <w:r>
        <w:rPr>
          <w:w w:val="105"/>
        </w:rPr>
        <w:t>2018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37"/>
      </w:pPr>
    </w:p>
    <w:p>
      <w:pPr>
        <w:pStyle w:val="BodyText"/>
        <w:tabs>
          <w:tab w:pos="1171" w:val="left" w:leader="none"/>
        </w:tabs>
        <w:spacing w:line="273" w:lineRule="auto"/>
        <w:ind w:left="1171" w:right="358" w:hanging="291"/>
      </w:pPr>
      <w:r>
        <w:rPr/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Managed a 9-analyst team responsible for a ﬂeet-tracking platform, electronic data interchange environment, and 5,000 warehouse endpoints.</w:t>
      </w:r>
    </w:p>
    <w:p>
      <w:pPr>
        <w:pStyle w:val="BodyText"/>
        <w:tabs>
          <w:tab w:pos="1171" w:val="left" w:leader="none"/>
        </w:tabs>
        <w:spacing w:line="273" w:lineRule="auto" w:before="91"/>
        <w:ind w:left="1171" w:right="178" w:hanging="291"/>
      </w:pPr>
      <w:r>
        <w:rPr/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Led the response effort during a supply chain intrusion via a compromised managed service provider; scoped 41 affected hosts, coordinated with the federal ﬁeld ofﬁce in Atlanta, and delivered the postmortem to the CEO.</w:t>
      </w:r>
    </w:p>
    <w:p>
      <w:pPr>
        <w:pStyle w:val="BodyText"/>
        <w:tabs>
          <w:tab w:pos="1171" w:val="left" w:leader="none"/>
        </w:tabs>
        <w:spacing w:line="273" w:lineRule="auto" w:before="106"/>
        <w:ind w:left="1171" w:right="336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Rebuilt the alert intake process so every SOC ticket carried adversary technique tagging, which later fed the ﬁrst coverage heat map the security org had produced.</w:t>
      </w:r>
    </w:p>
    <w:p>
      <w:pPr>
        <w:pStyle w:val="BodyText"/>
        <w:tabs>
          <w:tab w:pos="1171" w:val="left" w:leader="none"/>
        </w:tabs>
        <w:spacing w:line="273" w:lineRule="auto" w:before="90"/>
        <w:ind w:left="1171" w:right="141" w:hanging="291"/>
      </w:pPr>
      <w:r>
        <w:rPr/>
        <w:drawing>
          <wp:inline distT="0" distB="0" distL="0" distR="0">
            <wp:extent cx="47624" cy="4762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Ran</w:t>
      </w:r>
      <w:r>
        <w:rPr>
          <w:spacing w:val="-2"/>
          <w:w w:val="105"/>
        </w:rPr>
        <w:t> </w:t>
      </w:r>
      <w:r>
        <w:rPr>
          <w:w w:val="105"/>
        </w:rPr>
        <w:t>hiring</w:t>
      </w:r>
      <w:r>
        <w:rPr>
          <w:spacing w:val="-2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11</w:t>
      </w:r>
      <w:r>
        <w:rPr>
          <w:spacing w:val="-2"/>
          <w:w w:val="105"/>
        </w:rPr>
        <w:t> </w:t>
      </w:r>
      <w:r>
        <w:rPr>
          <w:w w:val="105"/>
        </w:rPr>
        <w:t>SOC</w:t>
      </w:r>
      <w:r>
        <w:rPr>
          <w:spacing w:val="-2"/>
          <w:w w:val="105"/>
        </w:rPr>
        <w:t> </w:t>
      </w:r>
      <w:r>
        <w:rPr>
          <w:w w:val="105"/>
        </w:rPr>
        <w:t>roles</w:t>
      </w:r>
      <w:r>
        <w:rPr>
          <w:spacing w:val="-2"/>
          <w:w w:val="105"/>
        </w:rPr>
        <w:t> </w:t>
      </w:r>
      <w:r>
        <w:rPr>
          <w:w w:val="105"/>
        </w:rPr>
        <w:t>over</w:t>
      </w:r>
      <w:r>
        <w:rPr>
          <w:spacing w:val="-2"/>
          <w:w w:val="105"/>
        </w:rPr>
        <w:t> </w:t>
      </w:r>
      <w:r>
        <w:rPr>
          <w:w w:val="105"/>
        </w:rPr>
        <w:t>three</w:t>
      </w:r>
      <w:r>
        <w:rPr>
          <w:spacing w:val="-2"/>
          <w:w w:val="105"/>
        </w:rPr>
        <w:t> </w:t>
      </w:r>
      <w:r>
        <w:rPr>
          <w:w w:val="105"/>
        </w:rPr>
        <w:t>years,</w:t>
      </w:r>
      <w:r>
        <w:rPr>
          <w:spacing w:val="-2"/>
          <w:w w:val="105"/>
        </w:rPr>
        <w:t> </w:t>
      </w:r>
      <w:r>
        <w:rPr>
          <w:w w:val="105"/>
        </w:rPr>
        <w:t>standardizing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practical</w:t>
      </w:r>
      <w:r>
        <w:rPr>
          <w:spacing w:val="-2"/>
          <w:w w:val="105"/>
        </w:rPr>
        <w:t> </w:t>
      </w:r>
      <w:r>
        <w:rPr>
          <w:w w:val="105"/>
        </w:rPr>
        <w:t>interview</w:t>
      </w:r>
      <w:r>
        <w:rPr>
          <w:spacing w:val="-2"/>
          <w:w w:val="105"/>
        </w:rPr>
        <w:t> </w:t>
      </w:r>
      <w:r>
        <w:rPr>
          <w:w w:val="105"/>
        </w:rPr>
        <w:t>using a redacted Splunk investigation.</w:t>
      </w:r>
    </w:p>
    <w:p>
      <w:pPr>
        <w:pStyle w:val="BodyText"/>
        <w:spacing w:before="87"/>
      </w:pPr>
    </w:p>
    <w:p>
      <w:pPr>
        <w:pStyle w:val="BodyText"/>
        <w:ind w:left="594"/>
      </w:pPr>
      <w:r>
        <w:rPr>
          <w:spacing w:val="-2"/>
          <w:w w:val="105"/>
        </w:rPr>
        <w:t>Senior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Cybersecurity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Analyst,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Fairhollow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Payments,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Atlanta,</w:t>
      </w:r>
      <w:r>
        <w:rPr>
          <w:spacing w:val="4"/>
          <w:w w:val="105"/>
        </w:rPr>
        <w:t> </w:t>
      </w:r>
      <w:r>
        <w:rPr>
          <w:spacing w:val="-5"/>
          <w:w w:val="105"/>
        </w:rPr>
        <w:t>GA</w:t>
      </w:r>
    </w:p>
    <w:p>
      <w:pPr>
        <w:pStyle w:val="BodyText"/>
        <w:spacing w:before="56"/>
        <w:ind w:left="594"/>
      </w:pPr>
      <w:r>
        <w:rPr>
          <w:w w:val="105"/>
        </w:rPr>
        <w:t>2015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2018</w:t>
      </w:r>
    </w:p>
    <w:p>
      <w:pPr>
        <w:pStyle w:val="BodyText"/>
        <w:spacing w:before="37"/>
      </w:pPr>
    </w:p>
    <w:p>
      <w:pPr>
        <w:pStyle w:val="BodyText"/>
        <w:tabs>
          <w:tab w:pos="1171" w:val="left" w:leader="none"/>
        </w:tabs>
        <w:spacing w:line="273" w:lineRule="auto"/>
        <w:ind w:left="1171" w:right="153" w:hanging="291"/>
      </w:pPr>
      <w:r>
        <w:rPr/>
        <w:drawing>
          <wp:inline distT="0" distB="0" distL="0" distR="0">
            <wp:extent cx="47624" cy="47624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Senior response analyst on a card-data payments environment; handled 60+</w:t>
      </w:r>
      <w:r>
        <w:rPr>
          <w:spacing w:val="40"/>
          <w:w w:val="105"/>
        </w:rPr>
        <w:t> </w:t>
      </w:r>
      <w:r>
        <w:rPr>
          <w:w w:val="105"/>
        </w:rPr>
        <w:t>conﬁrmed incidents including card-skimmer JavaScript and mail-order and telephone-order fraud rings.</w:t>
      </w:r>
    </w:p>
    <w:p>
      <w:pPr>
        <w:pStyle w:val="BodyText"/>
        <w:tabs>
          <w:tab w:pos="1171" w:val="left" w:leader="none"/>
        </w:tabs>
        <w:spacing w:line="273" w:lineRule="auto" w:before="91"/>
        <w:ind w:left="1171" w:right="581" w:hanging="291"/>
      </w:pPr>
      <w:r>
        <w:rPr/>
        <w:drawing>
          <wp:inline distT="0" distB="0" distL="0" distR="0">
            <wp:extent cx="47624" cy="47624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Built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ﬁrst</w:t>
      </w:r>
      <w:r>
        <w:rPr>
          <w:spacing w:val="-2"/>
          <w:w w:val="105"/>
        </w:rPr>
        <w:t> </w:t>
      </w:r>
      <w:r>
        <w:rPr>
          <w:w w:val="105"/>
        </w:rPr>
        <w:t>purple</w:t>
      </w:r>
      <w:r>
        <w:rPr>
          <w:spacing w:val="-2"/>
          <w:w w:val="105"/>
        </w:rPr>
        <w:t> </w:t>
      </w:r>
      <w:r>
        <w:rPr>
          <w:w w:val="105"/>
        </w:rPr>
        <w:t>team</w:t>
      </w:r>
      <w:r>
        <w:rPr>
          <w:spacing w:val="-2"/>
          <w:w w:val="105"/>
        </w:rPr>
        <w:t> </w:t>
      </w:r>
      <w:r>
        <w:rPr>
          <w:w w:val="105"/>
        </w:rPr>
        <w:t>program</w:t>
      </w:r>
      <w:r>
        <w:rPr>
          <w:spacing w:val="-2"/>
          <w:w w:val="105"/>
        </w:rPr>
        <w:t> </w:t>
      </w:r>
      <w:r>
        <w:rPr>
          <w:w w:val="105"/>
        </w:rPr>
        <w:t>between</w:t>
      </w:r>
      <w:r>
        <w:rPr>
          <w:spacing w:val="-2"/>
          <w:w w:val="105"/>
        </w:rPr>
        <w:t> </w:t>
      </w:r>
      <w:r>
        <w:rPr>
          <w:w w:val="105"/>
        </w:rPr>
        <w:t>SOC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offensive</w:t>
      </w:r>
      <w:r>
        <w:rPr>
          <w:spacing w:val="-2"/>
          <w:w w:val="105"/>
        </w:rPr>
        <w:t> </w:t>
      </w:r>
      <w:r>
        <w:rPr>
          <w:w w:val="105"/>
        </w:rPr>
        <w:t>security,</w:t>
      </w:r>
      <w:r>
        <w:rPr>
          <w:spacing w:val="-2"/>
          <w:w w:val="105"/>
        </w:rPr>
        <w:t> </w:t>
      </w:r>
      <w:r>
        <w:rPr>
          <w:w w:val="105"/>
        </w:rPr>
        <w:t>running quarterly exercises against payment authorization ﬂows.</w:t>
      </w:r>
    </w:p>
    <w:p>
      <w:pPr>
        <w:pStyle w:val="BodyText"/>
        <w:tabs>
          <w:tab w:pos="1171" w:val="left" w:leader="none"/>
        </w:tabs>
        <w:spacing w:line="273" w:lineRule="auto" w:before="105"/>
        <w:ind w:left="1171" w:right="178" w:hanging="291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Authored the company's ransomware playbook, later reused during two live incidents in 2017.</w:t>
      </w:r>
    </w:p>
    <w:p>
      <w:pPr>
        <w:pStyle w:val="BodyText"/>
        <w:tabs>
          <w:tab w:pos="1171" w:val="left" w:leader="none"/>
        </w:tabs>
        <w:spacing w:before="91"/>
        <w:ind w:left="880"/>
      </w:pPr>
      <w:r>
        <w:rPr/>
        <w:drawing>
          <wp:inline distT="0" distB="0" distL="0" distR="0">
            <wp:extent cx="47624" cy="47624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Mentored</w:t>
      </w:r>
      <w:r>
        <w:rPr>
          <w:spacing w:val="-7"/>
          <w:w w:val="105"/>
        </w:rPr>
        <w:t> </w:t>
      </w:r>
      <w:r>
        <w:rPr>
          <w:w w:val="105"/>
        </w:rPr>
        <w:t>4</w:t>
      </w:r>
      <w:r>
        <w:rPr>
          <w:spacing w:val="-6"/>
          <w:w w:val="105"/>
        </w:rPr>
        <w:t> </w:t>
      </w:r>
      <w:r>
        <w:rPr>
          <w:w w:val="105"/>
        </w:rPr>
        <w:t>Tier</w:t>
      </w:r>
      <w:r>
        <w:rPr>
          <w:spacing w:val="-7"/>
          <w:w w:val="105"/>
        </w:rPr>
        <w:t> </w:t>
      </w:r>
      <w:r>
        <w:rPr>
          <w:w w:val="105"/>
        </w:rPr>
        <w:t>1</w:t>
      </w:r>
      <w:r>
        <w:rPr>
          <w:spacing w:val="-6"/>
          <w:w w:val="105"/>
        </w:rPr>
        <w:t> </w:t>
      </w:r>
      <w:r>
        <w:rPr>
          <w:w w:val="105"/>
        </w:rPr>
        <w:t>analysts,</w:t>
      </w:r>
      <w:r>
        <w:rPr>
          <w:spacing w:val="-7"/>
          <w:w w:val="105"/>
        </w:rPr>
        <w:t> </w:t>
      </w:r>
      <w:r>
        <w:rPr>
          <w:w w:val="105"/>
        </w:rPr>
        <w:t>three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whom</w:t>
      </w:r>
      <w:r>
        <w:rPr>
          <w:spacing w:val="-6"/>
          <w:w w:val="105"/>
        </w:rPr>
        <w:t> </w:t>
      </w:r>
      <w:r>
        <w:rPr>
          <w:w w:val="105"/>
        </w:rPr>
        <w:t>promoted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Tier</w:t>
      </w:r>
      <w:r>
        <w:rPr>
          <w:spacing w:val="-7"/>
          <w:w w:val="105"/>
        </w:rPr>
        <w:t> </w:t>
      </w:r>
      <w:r>
        <w:rPr>
          <w:w w:val="105"/>
        </w:rPr>
        <w:t>2</w:t>
      </w:r>
      <w:r>
        <w:rPr>
          <w:spacing w:val="-6"/>
          <w:w w:val="105"/>
        </w:rPr>
        <w:t> </w:t>
      </w:r>
      <w:r>
        <w:rPr>
          <w:w w:val="105"/>
        </w:rPr>
        <w:t>within</w:t>
      </w:r>
      <w:r>
        <w:rPr>
          <w:spacing w:val="-7"/>
          <w:w w:val="105"/>
        </w:rPr>
        <w:t> </w:t>
      </w:r>
      <w:r>
        <w:rPr>
          <w:w w:val="105"/>
        </w:rPr>
        <w:t>18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months.</w:t>
      </w:r>
    </w:p>
    <w:p>
      <w:pPr>
        <w:pStyle w:val="BodyText"/>
        <w:spacing w:before="111"/>
      </w:pPr>
    </w:p>
    <w:p>
      <w:pPr>
        <w:pStyle w:val="BodyText"/>
        <w:spacing w:before="1"/>
        <w:ind w:left="594"/>
      </w:pPr>
      <w:r>
        <w:rPr/>
        <w:t>Cybersecurity</w:t>
      </w:r>
      <w:r>
        <w:rPr>
          <w:spacing w:val="7"/>
        </w:rPr>
        <w:t> </w:t>
      </w:r>
      <w:r>
        <w:rPr/>
        <w:t>Analyst,</w:t>
      </w:r>
      <w:r>
        <w:rPr>
          <w:spacing w:val="24"/>
        </w:rPr>
        <w:t> </w:t>
      </w:r>
      <w:r>
        <w:rPr/>
        <w:t>Fairhollow</w:t>
      </w:r>
      <w:r>
        <w:rPr>
          <w:spacing w:val="24"/>
        </w:rPr>
        <w:t> </w:t>
      </w:r>
      <w:r>
        <w:rPr/>
        <w:t>Payments,</w:t>
      </w:r>
      <w:r>
        <w:rPr>
          <w:spacing w:val="9"/>
        </w:rPr>
        <w:t> </w:t>
      </w:r>
      <w:r>
        <w:rPr/>
        <w:t>Atlanta,</w:t>
      </w:r>
      <w:r>
        <w:rPr>
          <w:spacing w:val="25"/>
        </w:rPr>
        <w:t> </w:t>
      </w:r>
      <w:r>
        <w:rPr>
          <w:spacing w:val="-5"/>
        </w:rPr>
        <w:t>GA</w:t>
      </w:r>
    </w:p>
    <w:p>
      <w:pPr>
        <w:pStyle w:val="BodyText"/>
        <w:spacing w:before="56"/>
        <w:ind w:left="594"/>
      </w:pPr>
      <w:r>
        <w:rPr>
          <w:w w:val="105"/>
        </w:rPr>
        <w:t>2013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2015</w:t>
      </w:r>
    </w:p>
    <w:p>
      <w:pPr>
        <w:pStyle w:val="BodyText"/>
        <w:spacing w:before="36"/>
      </w:pPr>
    </w:p>
    <w:p>
      <w:pPr>
        <w:pStyle w:val="BodyText"/>
        <w:tabs>
          <w:tab w:pos="1171" w:val="left" w:leader="none"/>
        </w:tabs>
        <w:spacing w:before="1"/>
        <w:ind w:left="880"/>
      </w:pPr>
      <w:r>
        <w:rPr/>
        <w:drawing>
          <wp:inline distT="0" distB="0" distL="0" distR="0">
            <wp:extent cx="47624" cy="47623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Monitored</w:t>
      </w:r>
      <w:r>
        <w:rPr>
          <w:spacing w:val="-7"/>
          <w:w w:val="105"/>
        </w:rPr>
        <w:t> </w:t>
      </w:r>
      <w:r>
        <w:rPr>
          <w:w w:val="105"/>
        </w:rPr>
        <w:t>ArcSight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later</w:t>
      </w:r>
      <w:r>
        <w:rPr>
          <w:spacing w:val="-6"/>
          <w:w w:val="105"/>
        </w:rPr>
        <w:t> </w:t>
      </w:r>
      <w:r>
        <w:rPr>
          <w:w w:val="105"/>
        </w:rPr>
        <w:t>Splunk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payments</w:t>
      </w:r>
      <w:r>
        <w:rPr>
          <w:spacing w:val="-6"/>
          <w:w w:val="105"/>
        </w:rPr>
        <w:t> </w:t>
      </w:r>
      <w:r>
        <w:rPr>
          <w:w w:val="105"/>
        </w:rPr>
        <w:t>SOC</w:t>
      </w:r>
      <w:r>
        <w:rPr>
          <w:spacing w:val="-7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rotating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shifts.</w:t>
      </w:r>
    </w:p>
    <w:p>
      <w:pPr>
        <w:pStyle w:val="BodyText"/>
        <w:tabs>
          <w:tab w:pos="1171" w:val="left" w:leader="none"/>
        </w:tabs>
        <w:spacing w:before="116"/>
        <w:ind w:left="880"/>
      </w:pPr>
      <w:r>
        <w:rPr/>
        <w:drawing>
          <wp:inline distT="0" distB="0" distL="0" distR="0">
            <wp:extent cx="47624" cy="47624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Handled</w:t>
      </w:r>
      <w:r>
        <w:rPr>
          <w:spacing w:val="-2"/>
          <w:w w:val="105"/>
        </w:rPr>
        <w:t> </w:t>
      </w:r>
      <w:r>
        <w:rPr>
          <w:w w:val="105"/>
        </w:rPr>
        <w:t>day-to-day</w:t>
      </w:r>
      <w:r>
        <w:rPr>
          <w:spacing w:val="-1"/>
          <w:w w:val="105"/>
        </w:rPr>
        <w:t> </w:t>
      </w:r>
      <w:r>
        <w:rPr>
          <w:w w:val="105"/>
        </w:rPr>
        <w:t>phishing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malware</w:t>
      </w:r>
      <w:r>
        <w:rPr>
          <w:spacing w:val="-2"/>
          <w:w w:val="105"/>
        </w:rPr>
        <w:t> </w:t>
      </w:r>
      <w:r>
        <w:rPr>
          <w:w w:val="105"/>
        </w:rPr>
        <w:t>triage</w:t>
      </w:r>
      <w:r>
        <w:rPr>
          <w:spacing w:val="-1"/>
          <w:w w:val="105"/>
        </w:rPr>
        <w:t> </w:t>
      </w:r>
      <w:r>
        <w:rPr>
          <w:w w:val="105"/>
        </w:rPr>
        <w:t>across</w:t>
      </w:r>
      <w:r>
        <w:rPr>
          <w:spacing w:val="-2"/>
          <w:w w:val="105"/>
        </w:rPr>
        <w:t> </w:t>
      </w:r>
      <w:r>
        <w:rPr>
          <w:w w:val="105"/>
        </w:rPr>
        <w:t>8,000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endpoints.</w:t>
      </w:r>
    </w:p>
    <w:p>
      <w:pPr>
        <w:pStyle w:val="BodyText"/>
        <w:spacing w:after="0"/>
        <w:sectPr>
          <w:type w:val="continuous"/>
          <w:pgSz w:w="11920" w:h="16860"/>
          <w:pgMar w:top="0" w:bottom="0" w:left="0" w:right="141"/>
          <w:cols w:num="2" w:equalWidth="0">
            <w:col w:w="3702" w:space="353"/>
            <w:col w:w="7724"/>
          </w:cols>
        </w:sectPr>
      </w:pPr>
    </w:p>
    <w:p>
      <w:pPr>
        <w:pStyle w:val="BodyText"/>
        <w:spacing w:before="18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20" w:h="16860"/>
          <w:pgMar w:top="0" w:bottom="0" w:left="0" w:right="141"/>
        </w:sectPr>
      </w:pPr>
    </w:p>
    <w:p>
      <w:pPr>
        <w:spacing w:line="278" w:lineRule="auto" w:before="75"/>
        <w:ind w:left="985" w:right="29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987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F86A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-15817728" id="docshape10" filled="true" fillcolor="#8f86af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  <w:w w:val="105"/>
          <w:sz w:val="18"/>
        </w:rPr>
        <w:t>ﬁnancial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rules,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state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breach </w:t>
      </w:r>
      <w:r>
        <w:rPr>
          <w:color w:val="FFFFFF"/>
          <w:spacing w:val="-2"/>
          <w:w w:val="105"/>
          <w:sz w:val="18"/>
        </w:rPr>
        <w:t>notiﬁcation</w:t>
      </w:r>
    </w:p>
    <w:p>
      <w:pPr>
        <w:tabs>
          <w:tab w:pos="985" w:val="left" w:leader="none"/>
        </w:tabs>
        <w:spacing w:line="278" w:lineRule="auto" w:before="75"/>
        <w:ind w:left="985" w:right="441" w:hanging="296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FFFFFF"/>
          <w:spacing w:val="-2"/>
          <w:w w:val="105"/>
          <w:sz w:val="18"/>
        </w:rPr>
        <w:t>Board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audit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committee reporting</w:t>
      </w:r>
    </w:p>
    <w:p>
      <w:pPr>
        <w:pStyle w:val="BodyText"/>
        <w:tabs>
          <w:tab w:pos="985" w:val="left" w:leader="none"/>
        </w:tabs>
        <w:spacing w:line="273" w:lineRule="auto" w:before="79"/>
        <w:ind w:left="985" w:right="125" w:hanging="291"/>
      </w:pPr>
      <w:r>
        <w:rPr/>
        <w:br w:type="column"/>
      </w:r>
      <w:r>
        <w:rPr/>
        <w:drawing>
          <wp:inline distT="0" distB="0" distL="0" distR="0">
            <wp:extent cx="47624" cy="47623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Wrote the ﬁrst internal wiki entries for common incident types, which became the seed of the team's runbook library.</w:t>
      </w:r>
    </w:p>
    <w:p>
      <w:pPr>
        <w:pStyle w:val="BodyText"/>
        <w:tabs>
          <w:tab w:pos="985" w:val="left" w:leader="none"/>
        </w:tabs>
        <w:spacing w:line="273" w:lineRule="auto" w:before="91"/>
        <w:ind w:left="985" w:right="695" w:hanging="291"/>
      </w:pPr>
      <w:r>
        <w:rPr/>
        <w:drawing>
          <wp:inline distT="0" distB="0" distL="0" distR="0">
            <wp:extent cx="47624" cy="47623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Selected</w:t>
      </w:r>
      <w:r>
        <w:rPr>
          <w:spacing w:val="-3"/>
          <w:w w:val="105"/>
        </w:rPr>
        <w:t> </w:t>
      </w:r>
      <w:r>
        <w:rPr>
          <w:w w:val="105"/>
        </w:rPr>
        <w:t>for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response</w:t>
      </w:r>
      <w:r>
        <w:rPr>
          <w:spacing w:val="-3"/>
          <w:w w:val="105"/>
        </w:rPr>
        <w:t> </w:t>
      </w:r>
      <w:r>
        <w:rPr>
          <w:w w:val="105"/>
        </w:rPr>
        <w:t>on-call</w:t>
      </w:r>
      <w:r>
        <w:rPr>
          <w:spacing w:val="-3"/>
          <w:w w:val="105"/>
        </w:rPr>
        <w:t> </w:t>
      </w:r>
      <w:r>
        <w:rPr>
          <w:w w:val="105"/>
        </w:rPr>
        <w:t>rotation</w:t>
      </w:r>
      <w:r>
        <w:rPr>
          <w:spacing w:val="-3"/>
          <w:w w:val="105"/>
        </w:rPr>
        <w:t> </w:t>
      </w:r>
      <w:r>
        <w:rPr>
          <w:w w:val="105"/>
        </w:rPr>
        <w:t>within</w:t>
      </w:r>
      <w:r>
        <w:rPr>
          <w:spacing w:val="-3"/>
          <w:w w:val="105"/>
        </w:rPr>
        <w:t> </w:t>
      </w:r>
      <w:r>
        <w:rPr>
          <w:w w:val="105"/>
        </w:rPr>
        <w:t>14</w:t>
      </w:r>
      <w:r>
        <w:rPr>
          <w:spacing w:val="-3"/>
          <w:w w:val="105"/>
        </w:rPr>
        <w:t> </w:t>
      </w:r>
      <w:r>
        <w:rPr>
          <w:w w:val="105"/>
        </w:rPr>
        <w:t>months,</w:t>
      </w:r>
      <w:r>
        <w:rPr>
          <w:spacing w:val="-3"/>
          <w:w w:val="105"/>
        </w:rPr>
        <w:t> </w:t>
      </w:r>
      <w:r>
        <w:rPr>
          <w:w w:val="105"/>
        </w:rPr>
        <w:t>ahead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usual </w:t>
      </w:r>
      <w:r>
        <w:rPr>
          <w:spacing w:val="-2"/>
          <w:w w:val="105"/>
        </w:rPr>
        <w:t>timeline.</w:t>
      </w:r>
    </w:p>
    <w:sectPr>
      <w:type w:val="continuous"/>
      <w:pgSz w:w="11920" w:h="16860"/>
      <w:pgMar w:top="0" w:bottom="0" w:left="0" w:right="141"/>
      <w:cols w:num="2" w:equalWidth="0">
        <w:col w:w="3650" w:space="590"/>
        <w:col w:w="753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340" w:right="234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90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76"/>
      <w:ind w:left="687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damon.ackerley@example.com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2026-09-26T13:09:36Z</dcterms:created>
  <dcterms:modified xsi:type="dcterms:W3CDTF">2026-09-26T13:09:36Z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2026-09-26T00:00:00Z</vt:filetime>
  </property>
  <property fmtid="{D5CDD505-2E9C-101B-9397-08002B2CF9AE}" pid="5" name="Producer">
    <vt:lpwstr>pdf-merger-js</vt:lpwstr>
  </property>
</Properties>
</file>