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02"/>
        <w:ind w:left="4018" w:right="195" w:firstLine="0"/>
        <w:jc w:val="center"/>
        <w:rPr>
          <w:rFonts w:ascii="Tahoma"/>
          <w:sz w:val="74"/>
        </w:rPr>
      </w:pPr>
      <w:r>
        <w:rPr>
          <w:rFonts w:ascii="Tahoma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382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382250"/>
                          <a:chExt cx="2714625" cy="10382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68412" y="982620"/>
                            <a:ext cx="1223645" cy="8267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7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130"/>
                                </w:rPr>
                                <w:t>BC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2823705"/>
                            <a:ext cx="113157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Charlotte,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NC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(704)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85378" y="3700005"/>
                            <a:ext cx="1571625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8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david.okonkwo@example.co</w:t>
                                </w:r>
                              </w:hyperlink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36810" y="4742657"/>
                            <a:ext cx="83185" cy="276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184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183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25673" y="4804905"/>
                            <a:ext cx="1870075" cy="2813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Category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strategy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2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vision</w:t>
                              </w:r>
                            </w:p>
                            <w:p>
                              <w:pPr>
                                <w:spacing w:line="261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Vendor consolidation and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rationalization</w:t>
                              </w:r>
                            </w:p>
                            <w:p>
                              <w:pPr>
                                <w:spacing w:line="261" w:lineRule="auto" w:before="103"/>
                                <w:ind w:left="0" w:right="9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Private-label program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development</w:t>
                              </w:r>
                            </w:p>
                            <w:p>
                              <w:pPr>
                                <w:spacing w:line="261" w:lineRule="auto" w:before="8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Team leadership and buyer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coaching</w:t>
                              </w:r>
                            </w:p>
                            <w:p>
                              <w:pPr>
                                <w:spacing w:line="261" w:lineRule="auto" w:before="10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Open-to-buy oversight at division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level</w:t>
                              </w:r>
                            </w:p>
                            <w:p>
                              <w:pPr>
                                <w:spacing w:line="364" w:lineRule="auto" w:before="8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Nearshore and overseas sourcing Gross margin and turn analysis</w:t>
                              </w:r>
                            </w:p>
                            <w:p>
                              <w:pPr>
                                <w:spacing w:line="261" w:lineRule="auto" w:before="1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Executive presentation and buy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defense</w:t>
                              </w:r>
                            </w:p>
                            <w:p>
                              <w:pPr>
                                <w:spacing w:before="8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SAP</w:t>
                              </w:r>
                              <w:r>
                                <w:rPr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Retail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Blue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Yonder</w:t>
                              </w:r>
                            </w:p>
                            <w:p>
                              <w:pPr>
                                <w:spacing w:line="278" w:lineRule="auto" w:before="8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Cross-functional partnership with planning, finance, and visual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17.5pt;mso-position-horizontal-relative:page;mso-position-vertical-relative:page;z-index:15729664" id="docshapegroup1" coordorigin="0,0" coordsize="4275,16350">
                <v:rect style="position:absolute;left:390;top:0;width:3885;height:16350" id="docshape2" filled="true" fillcolor="#f5f5f5" stroked="false">
                  <v:fill type="solid"/>
                </v:rect>
                <v:shape style="position:absolute;left:0;top:4215;width:4050;height:3030" id="docshape3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id="docshape9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67;top:1547;width:1927;height:1302" type="#_x0000_t202" id="docshape10" filled="false" stroked="false">
                  <v:textbox inset="0,0,0,0">
                    <w:txbxContent>
                      <w:p>
                        <w:pPr>
                          <w:spacing w:line="1278" w:lineRule="exact" w:before="0"/>
                          <w:ind w:left="0" w:right="0" w:firstLine="0"/>
                          <w:jc w:val="left"/>
                          <w:rPr>
                            <w:b/>
                            <w:sz w:val="130"/>
                          </w:rPr>
                        </w:pPr>
                        <w:r>
                          <w:rPr>
                            <w:b/>
                            <w:color w:val="FFFFFF"/>
                            <w:spacing w:val="8"/>
                            <w:sz w:val="130"/>
                          </w:rPr>
                          <w:t>BC</w:t>
                        </w:r>
                      </w:p>
                    </w:txbxContent>
                  </v:textbox>
                  <w10:wrap type="none"/>
                </v:shape>
                <v:shape style="position:absolute;left:1394;top:4446;width:1782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Charlotte,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NC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(704)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0129</w:t>
                        </w:r>
                      </w:p>
                    </w:txbxContent>
                  </v:textbox>
                  <w10:wrap type="none"/>
                </v:shape>
                <v:shape style="position:absolute;left:1394;top:5826;width:2475;height:411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8">
                          <w:r>
                            <w:rPr>
                              <w:spacing w:val="-2"/>
                              <w:sz w:val="18"/>
                            </w:rPr>
                            <w:t>david.okonkwo@example.co</w:t>
                          </w:r>
                        </w:hyperlink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4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4359" type="#_x0000_t202" id="docshape15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184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183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945;height:4431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Category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strategy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2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vision</w:t>
                        </w:r>
                      </w:p>
                      <w:p>
                        <w:pPr>
                          <w:spacing w:line="261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Vendor consolidation and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rationalization</w:t>
                        </w:r>
                      </w:p>
                      <w:p>
                        <w:pPr>
                          <w:spacing w:line="261" w:lineRule="auto" w:before="103"/>
                          <w:ind w:left="0" w:right="9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Private-label program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development</w:t>
                        </w:r>
                      </w:p>
                      <w:p>
                        <w:pPr>
                          <w:spacing w:line="261" w:lineRule="auto" w:before="8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Team leadership and buyer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coaching</w:t>
                        </w:r>
                      </w:p>
                      <w:p>
                        <w:pPr>
                          <w:spacing w:line="261" w:lineRule="auto" w:before="10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Open-to-buy oversight at division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level</w:t>
                        </w:r>
                      </w:p>
                      <w:p>
                        <w:pPr>
                          <w:spacing w:line="364" w:lineRule="auto" w:before="8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Nearshore and overseas sourcing Gross margin and turn analysis</w:t>
                        </w:r>
                      </w:p>
                      <w:p>
                        <w:pPr>
                          <w:spacing w:line="261" w:lineRule="auto" w:before="1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Executive presentation and buy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defense</w:t>
                        </w:r>
                      </w:p>
                      <w:p>
                        <w:pPr>
                          <w:spacing w:before="8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SAP</w:t>
                        </w:r>
                        <w:r>
                          <w:rPr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Retail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Blue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Yonder</w:t>
                        </w:r>
                      </w:p>
                      <w:p>
                        <w:pPr>
                          <w:spacing w:line="278" w:lineRule="auto" w:before="8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Cross-functional partnership with planning, finance, and visual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2"/>
          <w:sz w:val="74"/>
        </w:rPr>
        <w:t>Benjamin</w:t>
      </w:r>
      <w:r>
        <w:rPr>
          <w:b/>
          <w:color w:val="424242"/>
          <w:spacing w:val="31"/>
          <w:sz w:val="74"/>
        </w:rPr>
        <w:t> </w:t>
      </w:r>
      <w:r>
        <w:rPr>
          <w:rFonts w:ascii="Tahoma"/>
          <w:color w:val="424242"/>
          <w:spacing w:val="10"/>
          <w:sz w:val="74"/>
        </w:rPr>
        <w:t>Collins</w:t>
      </w:r>
    </w:p>
    <w:p>
      <w:pPr>
        <w:pStyle w:val="Heading1"/>
      </w:pPr>
      <w:r>
        <w:rPr>
          <w:color w:val="424242"/>
          <w:spacing w:val="-2"/>
          <w:w w:val="105"/>
        </w:rPr>
        <w:t>Buyer</w:t>
      </w:r>
    </w:p>
    <w:p>
      <w:pPr>
        <w:pStyle w:val="BodyText"/>
        <w:spacing w:before="10"/>
        <w:ind w:left="0" w:firstLine="0"/>
        <w:rPr>
          <w:b/>
        </w:rPr>
      </w:pPr>
    </w:p>
    <w:p>
      <w:pPr>
        <w:spacing w:line="273" w:lineRule="auto" w:before="0"/>
        <w:ind w:left="4018" w:right="182" w:firstLine="0"/>
        <w:jc w:val="center"/>
        <w:rPr>
          <w:sz w:val="16"/>
        </w:rPr>
      </w:pPr>
      <w:r>
        <w:rPr>
          <w:w w:val="105"/>
          <w:sz w:val="16"/>
        </w:rPr>
        <w:t>Merchandise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department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store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specialty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channels, currently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overseeing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$62M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men's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buyers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assistants.</w:t>
      </w:r>
    </w:p>
    <w:p>
      <w:pPr>
        <w:spacing w:line="169" w:lineRule="exact" w:before="0"/>
        <w:ind w:left="4018" w:right="184" w:firstLine="0"/>
        <w:jc w:val="center"/>
        <w:rPr>
          <w:sz w:val="16"/>
        </w:rPr>
      </w:pPr>
      <w:r>
        <w:rPr>
          <w:w w:val="105"/>
          <w:sz w:val="16"/>
        </w:rPr>
        <w:t>Focus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category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strategy,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consolidation,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buyer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talent</w:t>
      </w:r>
      <w:r>
        <w:rPr>
          <w:spacing w:val="27"/>
          <w:w w:val="105"/>
          <w:sz w:val="16"/>
        </w:rPr>
        <w:t> </w:t>
      </w:r>
      <w:r>
        <w:rPr>
          <w:spacing w:val="-4"/>
          <w:w w:val="105"/>
          <w:sz w:val="16"/>
        </w:rPr>
        <w:t>from</w:t>
      </w:r>
    </w:p>
    <w:p>
      <w:pPr>
        <w:spacing w:before="26"/>
        <w:ind w:left="4018" w:right="184" w:firstLine="0"/>
        <w:jc w:val="center"/>
        <w:rPr>
          <w:sz w:val="16"/>
        </w:rPr>
      </w:pPr>
      <w:r>
        <w:rPr>
          <w:w w:val="105"/>
          <w:sz w:val="16"/>
        </w:rPr>
        <w:t>associate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ownership.</w:t>
      </w:r>
    </w:p>
    <w:p>
      <w:pPr>
        <w:pStyle w:val="BodyText"/>
        <w:spacing w:before="27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178618</wp:posOffset>
                </wp:positionV>
                <wp:extent cx="4295775" cy="952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4.06442pt;width:338.249973pt;height:.75pt;mso-position-horizontal-relative:page;mso-position-vertical-relative:paragraph;z-index:-15728640;mso-wrap-distance-left:0;mso-wrap-distance-right:0" id="docshape17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 w:firstLine="0"/>
      </w:pPr>
    </w:p>
    <w:p>
      <w:pPr>
        <w:pStyle w:val="BodyText"/>
        <w:ind w:left="0" w:firstLine="0"/>
      </w:pPr>
    </w:p>
    <w:p>
      <w:pPr>
        <w:pStyle w:val="BodyText"/>
        <w:spacing w:before="83"/>
        <w:ind w:left="0" w:firstLine="0"/>
      </w:pPr>
    </w:p>
    <w:p>
      <w:pPr>
        <w:spacing w:before="1"/>
        <w:ind w:left="4336" w:right="0" w:firstLine="0"/>
        <w:jc w:val="left"/>
        <w:rPr>
          <w:rFonts w:ascii="Tahoma"/>
          <w:sz w:val="18"/>
        </w:rPr>
      </w:pPr>
      <w:r>
        <w:rPr>
          <w:rFonts w:ascii="Tahom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247649</wp:posOffset>
                </wp:positionH>
                <wp:positionV relativeFrom="paragraph">
                  <wp:posOffset>668</wp:posOffset>
                </wp:positionV>
                <wp:extent cx="2466975" cy="809625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52634pt;width:194.249985pt;height:637.499949pt;mso-position-horizontal-relative:page;mso-position-vertical-relative:paragraph;z-index:-15804928" id="docshape18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-351756</wp:posOffset>
                </wp:positionV>
                <wp:extent cx="4711065" cy="27622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697344pt;width:370.95pt;height:21.75pt;mso-position-horizontal-relative:page;mso-position-vertical-relative:paragraph;z-index:15730176" id="docshapegroup19" coordorigin="4500,-554" coordsize="7419,435">
                <v:shape style="position:absolute;left:4500;top:-554;width:7419;height:435" id="docshape20" coordorigin="4500,-554" coordsize="7419,435" path="m11918,-119l4717,-119,4707,-119,4644,-132,4588,-162,4543,-207,4513,-263,4500,-326,4500,-336,4500,-347,4513,-410,4543,-466,4588,-511,4644,-541,4707,-554,4717,-554,11918,-554,11918,-119xe" filled="true" fillcolor="#424242" stroked="false">
                  <v:path arrowok="t"/>
                  <v:fill type="solid"/>
                </v:shape>
                <v:shape style="position:absolute;left:4500;top:-554;width:7419;height:435" type="#_x0000_t202" id="docshape21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w w:val="115"/>
          <w:sz w:val="18"/>
        </w:rPr>
        <w:t>MERCHANDISE</w:t>
      </w:r>
      <w:r>
        <w:rPr>
          <w:rFonts w:ascii="Tahoma"/>
          <w:spacing w:val="10"/>
          <w:w w:val="115"/>
          <w:sz w:val="18"/>
        </w:rPr>
        <w:t> </w:t>
      </w:r>
      <w:r>
        <w:rPr>
          <w:rFonts w:ascii="Tahoma"/>
          <w:w w:val="115"/>
          <w:sz w:val="18"/>
        </w:rPr>
        <w:t>MANAGER,</w:t>
      </w:r>
      <w:r>
        <w:rPr>
          <w:rFonts w:ascii="Tahoma"/>
          <w:spacing w:val="10"/>
          <w:w w:val="115"/>
          <w:sz w:val="18"/>
        </w:rPr>
        <w:t> </w:t>
      </w:r>
      <w:r>
        <w:rPr>
          <w:rFonts w:ascii="Tahoma"/>
          <w:spacing w:val="-2"/>
          <w:w w:val="115"/>
          <w:sz w:val="18"/>
        </w:rPr>
        <w:t>MEN'S</w:t>
      </w:r>
    </w:p>
    <w:p>
      <w:pPr>
        <w:spacing w:line="261" w:lineRule="auto" w:before="19"/>
        <w:ind w:left="4336" w:right="0" w:firstLine="0"/>
        <w:jc w:val="left"/>
        <w:rPr>
          <w:sz w:val="18"/>
        </w:rPr>
      </w:pPr>
      <w:r>
        <w:rPr>
          <w:sz w:val="18"/>
        </w:rPr>
        <w:t>WESTBROOK &amp; PIERCE DEPARTMENT STORES, CHARLOTTE, NC | 2020 –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2" w:after="0"/>
        <w:ind w:left="4819" w:right="388" w:hanging="298"/>
        <w:jc w:val="left"/>
        <w:rPr>
          <w:sz w:val="18"/>
        </w:rPr>
      </w:pPr>
      <w:r>
        <w:rPr>
          <w:w w:val="105"/>
          <w:sz w:val="18"/>
        </w:rPr>
        <w:t>Lead the men's division at $62M in annual sales across tailored clothing, sportswear, and accessories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437" w:hanging="298"/>
        <w:jc w:val="left"/>
        <w:rPr>
          <w:sz w:val="18"/>
        </w:rPr>
      </w:pPr>
      <w:r>
        <w:rPr>
          <w:w w:val="105"/>
          <w:sz w:val="18"/>
        </w:rPr>
        <w:t>Consolidated the vendor base from 78 to 51 partners, protecting margin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dollars while cutting order-management overhead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337" w:hanging="298"/>
        <w:jc w:val="left"/>
        <w:rPr>
          <w:sz w:val="18"/>
        </w:rPr>
      </w:pPr>
      <w:r>
        <w:rPr>
          <w:w w:val="105"/>
          <w:sz w:val="18"/>
        </w:rPr>
        <w:t>Rebuilt the private-label tailored program and grew penetration from 12%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to 21% of the division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538" w:hanging="298"/>
        <w:jc w:val="left"/>
        <w:rPr>
          <w:sz w:val="18"/>
        </w:rPr>
      </w:pPr>
      <w:r>
        <w:rPr>
          <w:w w:val="105"/>
          <w:sz w:val="18"/>
        </w:rPr>
        <w:t>Run quarterly business reviews with the CMO and defend the seasonal buy against the planning and finance leads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83" w:after="0"/>
        <w:ind w:left="4819" w:right="317" w:hanging="298"/>
        <w:jc w:val="left"/>
        <w:rPr>
          <w:sz w:val="18"/>
        </w:rPr>
      </w:pPr>
      <w:r>
        <w:rPr>
          <w:w w:val="105"/>
          <w:sz w:val="18"/>
        </w:rPr>
        <w:t>Coach 4 buyers through open-to-buy ownership and vendor negotiations, two promoted from associate under my tenure</w:t>
      </w:r>
    </w:p>
    <w:p>
      <w:pPr>
        <w:pStyle w:val="BodyText"/>
        <w:spacing w:before="1"/>
        <w:ind w:left="0" w:firstLine="0"/>
      </w:pPr>
    </w:p>
    <w:p>
      <w:pPr>
        <w:spacing w:before="0"/>
        <w:ind w:left="4336" w:right="0" w:firstLine="0"/>
        <w:jc w:val="left"/>
        <w:rPr>
          <w:rFonts w:ascii="Tahoma"/>
          <w:sz w:val="18"/>
        </w:rPr>
      </w:pPr>
      <w:r>
        <w:rPr>
          <w:rFonts w:ascii="Tahoma"/>
          <w:w w:val="115"/>
          <w:sz w:val="18"/>
        </w:rPr>
        <w:t>SENIOR</w:t>
      </w:r>
      <w:r>
        <w:rPr>
          <w:rFonts w:ascii="Tahoma"/>
          <w:spacing w:val="3"/>
          <w:w w:val="115"/>
          <w:sz w:val="18"/>
        </w:rPr>
        <w:t> </w:t>
      </w:r>
      <w:r>
        <w:rPr>
          <w:rFonts w:ascii="Tahoma"/>
          <w:w w:val="115"/>
          <w:sz w:val="18"/>
        </w:rPr>
        <w:t>BUYER,</w:t>
      </w:r>
      <w:r>
        <w:rPr>
          <w:rFonts w:ascii="Tahoma"/>
          <w:spacing w:val="3"/>
          <w:w w:val="115"/>
          <w:sz w:val="18"/>
        </w:rPr>
        <w:t> </w:t>
      </w:r>
      <w:r>
        <w:rPr>
          <w:rFonts w:ascii="Tahoma"/>
          <w:w w:val="115"/>
          <w:sz w:val="18"/>
        </w:rPr>
        <w:t>MEN'S</w:t>
      </w:r>
      <w:r>
        <w:rPr>
          <w:rFonts w:ascii="Tahoma"/>
          <w:spacing w:val="4"/>
          <w:w w:val="115"/>
          <w:sz w:val="18"/>
        </w:rPr>
        <w:t> </w:t>
      </w:r>
      <w:r>
        <w:rPr>
          <w:rFonts w:ascii="Tahoma"/>
          <w:spacing w:val="-2"/>
          <w:w w:val="115"/>
          <w:sz w:val="18"/>
        </w:rPr>
        <w:t>SPORTSWEAR</w:t>
      </w:r>
    </w:p>
    <w:p>
      <w:pPr>
        <w:spacing w:before="34"/>
        <w:ind w:left="4336" w:right="0" w:firstLine="0"/>
        <w:jc w:val="left"/>
        <w:rPr>
          <w:sz w:val="18"/>
        </w:rPr>
      </w:pPr>
      <w:r>
        <w:rPr>
          <w:sz w:val="18"/>
        </w:rPr>
        <w:t>HALYARD</w:t>
      </w:r>
      <w:r>
        <w:rPr>
          <w:spacing w:val="7"/>
          <w:sz w:val="18"/>
        </w:rPr>
        <w:t> </w:t>
      </w:r>
      <w:r>
        <w:rPr>
          <w:sz w:val="18"/>
        </w:rPr>
        <w:t>COURT</w:t>
      </w:r>
      <w:r>
        <w:rPr>
          <w:spacing w:val="7"/>
          <w:sz w:val="18"/>
        </w:rPr>
        <w:t> </w:t>
      </w:r>
      <w:r>
        <w:rPr>
          <w:sz w:val="18"/>
        </w:rPr>
        <w:t>RETAIL</w:t>
      </w:r>
      <w:r>
        <w:rPr>
          <w:spacing w:val="7"/>
          <w:sz w:val="18"/>
        </w:rPr>
        <w:t> </w:t>
      </w:r>
      <w:r>
        <w:rPr>
          <w:sz w:val="18"/>
        </w:rPr>
        <w:t>GROUP,</w:t>
      </w:r>
      <w:r>
        <w:rPr>
          <w:spacing w:val="8"/>
          <w:sz w:val="18"/>
        </w:rPr>
        <w:t> </w:t>
      </w:r>
      <w:r>
        <w:rPr>
          <w:sz w:val="18"/>
        </w:rPr>
        <w:t>ATLANTA,</w:t>
      </w:r>
      <w:r>
        <w:rPr>
          <w:spacing w:val="7"/>
          <w:sz w:val="18"/>
        </w:rPr>
        <w:t> </w:t>
      </w:r>
      <w:r>
        <w:rPr>
          <w:sz w:val="18"/>
        </w:rPr>
        <w:t>GA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2016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818" w:val="left" w:leader="none"/>
        </w:tabs>
        <w:spacing w:line="336" w:lineRule="exact" w:before="126" w:after="0"/>
        <w:ind w:left="4818" w:right="0" w:hanging="296"/>
        <w:jc w:val="left"/>
        <w:rPr>
          <w:sz w:val="18"/>
        </w:rPr>
      </w:pPr>
      <w:r>
        <w:rPr>
          <w:w w:val="105"/>
          <w:sz w:val="18"/>
        </w:rPr>
        <w:t>Managed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$24M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open-to-buy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knits,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wovens,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outerwear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8" w:after="0"/>
        <w:ind w:left="4819" w:right="280" w:hanging="298"/>
        <w:jc w:val="left"/>
        <w:rPr>
          <w:sz w:val="18"/>
        </w:rPr>
      </w:pPr>
      <w:r>
        <w:rPr>
          <w:w w:val="105"/>
          <w:sz w:val="18"/>
        </w:rPr>
        <w:t>Led the sourcing shift on two knit programs to nearshore factories, cutting lead time from 120 to 75 days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303" w:hanging="298"/>
        <w:jc w:val="left"/>
        <w:rPr>
          <w:sz w:val="18"/>
        </w:rPr>
      </w:pPr>
      <w:r>
        <w:rPr>
          <w:w w:val="105"/>
          <w:sz w:val="18"/>
        </w:rPr>
        <w:t>Grew gross margin in the category by roughly 240 basis points over three fiscal years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525" w:hanging="298"/>
        <w:jc w:val="left"/>
        <w:rPr>
          <w:sz w:val="18"/>
        </w:rPr>
      </w:pPr>
      <w:r>
        <w:rPr>
          <w:w w:val="105"/>
          <w:sz w:val="18"/>
        </w:rPr>
        <w:t>Owned market week strategy across two trade shows and eight vendor showroom visits per season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522" w:hanging="298"/>
        <w:jc w:val="left"/>
        <w:rPr>
          <w:sz w:val="18"/>
        </w:rPr>
      </w:pPr>
      <w:r>
        <w:rPr>
          <w:w w:val="105"/>
          <w:sz w:val="18"/>
        </w:rPr>
        <w:t>Partnered with the visual team on floor set direction, tightening the sell-through curve in the first six weeks</w:t>
      </w:r>
    </w:p>
    <w:p>
      <w:pPr>
        <w:pStyle w:val="BodyText"/>
        <w:spacing w:before="18"/>
        <w:ind w:left="0" w:firstLine="0"/>
      </w:pPr>
    </w:p>
    <w:p>
      <w:pPr>
        <w:spacing w:before="0"/>
        <w:ind w:left="4336" w:right="0" w:firstLine="0"/>
        <w:jc w:val="left"/>
        <w:rPr>
          <w:rFonts w:ascii="Tahoma"/>
          <w:sz w:val="18"/>
        </w:rPr>
      </w:pPr>
      <w:r>
        <w:rPr>
          <w:rFonts w:ascii="Tahoma"/>
          <w:w w:val="110"/>
          <w:sz w:val="18"/>
        </w:rPr>
        <w:t>BUYER,</w:t>
      </w:r>
      <w:r>
        <w:rPr>
          <w:rFonts w:ascii="Tahoma"/>
          <w:spacing w:val="19"/>
          <w:w w:val="110"/>
          <w:sz w:val="18"/>
        </w:rPr>
        <w:t> </w:t>
      </w:r>
      <w:r>
        <w:rPr>
          <w:rFonts w:ascii="Tahoma"/>
          <w:w w:val="110"/>
          <w:sz w:val="18"/>
        </w:rPr>
        <w:t>MEN'S</w:t>
      </w:r>
      <w:r>
        <w:rPr>
          <w:rFonts w:ascii="Tahoma"/>
          <w:spacing w:val="22"/>
          <w:w w:val="110"/>
          <w:sz w:val="18"/>
        </w:rPr>
        <w:t> </w:t>
      </w:r>
      <w:r>
        <w:rPr>
          <w:rFonts w:ascii="Tahoma"/>
          <w:w w:val="110"/>
          <w:sz w:val="18"/>
        </w:rPr>
        <w:t>DENIM</w:t>
      </w:r>
      <w:r>
        <w:rPr>
          <w:rFonts w:ascii="Tahoma"/>
          <w:spacing w:val="8"/>
          <w:w w:val="110"/>
          <w:sz w:val="18"/>
        </w:rPr>
        <w:t> </w:t>
      </w:r>
      <w:r>
        <w:rPr>
          <w:rFonts w:ascii="Tahoma"/>
          <w:w w:val="110"/>
          <w:sz w:val="18"/>
        </w:rPr>
        <w:t>AND</w:t>
      </w:r>
      <w:r>
        <w:rPr>
          <w:rFonts w:ascii="Tahoma"/>
          <w:spacing w:val="22"/>
          <w:w w:val="110"/>
          <w:sz w:val="18"/>
        </w:rPr>
        <w:t> </w:t>
      </w:r>
      <w:r>
        <w:rPr>
          <w:rFonts w:ascii="Tahoma"/>
          <w:spacing w:val="-2"/>
          <w:w w:val="110"/>
          <w:sz w:val="18"/>
        </w:rPr>
        <w:t>BOTTOMS</w:t>
      </w:r>
    </w:p>
    <w:p>
      <w:pPr>
        <w:spacing w:before="19"/>
        <w:ind w:left="4336" w:right="0" w:firstLine="0"/>
        <w:jc w:val="left"/>
        <w:rPr>
          <w:sz w:val="18"/>
        </w:rPr>
      </w:pPr>
      <w:r>
        <w:rPr>
          <w:sz w:val="18"/>
        </w:rPr>
        <w:t>CORVID</w:t>
      </w:r>
      <w:r>
        <w:rPr>
          <w:spacing w:val="12"/>
          <w:sz w:val="18"/>
        </w:rPr>
        <w:t> </w:t>
      </w:r>
      <w:r>
        <w:rPr>
          <w:sz w:val="18"/>
        </w:rPr>
        <w:t>LANE</w:t>
      </w:r>
      <w:r>
        <w:rPr>
          <w:spacing w:val="12"/>
          <w:sz w:val="18"/>
        </w:rPr>
        <w:t> </w:t>
      </w:r>
      <w:r>
        <w:rPr>
          <w:sz w:val="18"/>
        </w:rPr>
        <w:t>RETAIL,</w:t>
      </w:r>
      <w:r>
        <w:rPr>
          <w:spacing w:val="12"/>
          <w:sz w:val="18"/>
        </w:rPr>
        <w:t> </w:t>
      </w:r>
      <w:r>
        <w:rPr>
          <w:sz w:val="18"/>
        </w:rPr>
        <w:t>ATLANTA,</w:t>
      </w:r>
      <w:r>
        <w:rPr>
          <w:spacing w:val="12"/>
          <w:sz w:val="18"/>
        </w:rPr>
        <w:t> </w:t>
      </w:r>
      <w:r>
        <w:rPr>
          <w:sz w:val="18"/>
        </w:rPr>
        <w:t>GA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2"/>
          <w:sz w:val="18"/>
        </w:rPr>
        <w:t> </w:t>
      </w:r>
      <w:r>
        <w:rPr>
          <w:sz w:val="18"/>
        </w:rPr>
        <w:t>2013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2016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64" w:after="0"/>
        <w:ind w:left="4819" w:right="540" w:hanging="298"/>
        <w:jc w:val="left"/>
        <w:rPr>
          <w:sz w:val="18"/>
        </w:rPr>
      </w:pPr>
      <w:r>
        <w:rPr>
          <w:w w:val="105"/>
          <w:sz w:val="18"/>
        </w:rPr>
        <w:t>Ran a $9.8M category with direct responsibility for assortment, pricing,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vendor negotiation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506" w:hanging="298"/>
        <w:jc w:val="left"/>
        <w:rPr>
          <w:sz w:val="18"/>
        </w:rPr>
      </w:pPr>
      <w:r>
        <w:rPr>
          <w:w w:val="105"/>
          <w:sz w:val="18"/>
        </w:rPr>
        <w:t>Introduced a stretch denim program that grew to the top three SKUs by unit sales within two seasons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247" w:hanging="298"/>
        <w:jc w:val="left"/>
        <w:rPr>
          <w:sz w:val="18"/>
        </w:rPr>
      </w:pPr>
      <w:r>
        <w:rPr>
          <w:w w:val="105"/>
          <w:sz w:val="18"/>
        </w:rPr>
        <w:t>Rebuilt the size-scale logic with planning after finding a systemic over-buy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on 34x30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534" w:hanging="298"/>
        <w:jc w:val="left"/>
        <w:rPr>
          <w:sz w:val="18"/>
        </w:rPr>
      </w:pPr>
      <w:r>
        <w:rPr>
          <w:w w:val="105"/>
          <w:sz w:val="18"/>
        </w:rPr>
        <w:t>Presented at the annual vendor summit and negotiated volume rebates with the two largest denim partners</w:t>
      </w:r>
    </w:p>
    <w:p>
      <w:pPr>
        <w:pStyle w:val="BodyText"/>
        <w:spacing w:before="18"/>
        <w:ind w:left="0" w:firstLine="0"/>
      </w:pPr>
    </w:p>
    <w:p>
      <w:pPr>
        <w:spacing w:before="0"/>
        <w:ind w:left="4336" w:right="0" w:firstLine="0"/>
        <w:jc w:val="left"/>
        <w:rPr>
          <w:rFonts w:ascii="Tahoma"/>
          <w:sz w:val="18"/>
        </w:rPr>
      </w:pPr>
      <w:r>
        <w:rPr>
          <w:rFonts w:ascii="Tahoma"/>
          <w:w w:val="110"/>
          <w:sz w:val="18"/>
        </w:rPr>
        <w:t>ASSISTANT</w:t>
      </w:r>
      <w:r>
        <w:rPr>
          <w:rFonts w:ascii="Tahoma"/>
          <w:spacing w:val="22"/>
          <w:w w:val="115"/>
          <w:sz w:val="18"/>
        </w:rPr>
        <w:t> </w:t>
      </w:r>
      <w:r>
        <w:rPr>
          <w:rFonts w:ascii="Tahoma"/>
          <w:spacing w:val="-4"/>
          <w:w w:val="115"/>
          <w:sz w:val="18"/>
        </w:rPr>
        <w:t>BUYER</w:t>
      </w:r>
    </w:p>
    <w:p>
      <w:pPr>
        <w:spacing w:before="19"/>
        <w:ind w:left="4336" w:right="0" w:firstLine="0"/>
        <w:jc w:val="left"/>
        <w:rPr>
          <w:sz w:val="18"/>
        </w:rPr>
      </w:pPr>
      <w:r>
        <w:rPr>
          <w:sz w:val="18"/>
        </w:rPr>
        <w:t>CORVID</w:t>
      </w:r>
      <w:r>
        <w:rPr>
          <w:spacing w:val="12"/>
          <w:sz w:val="18"/>
        </w:rPr>
        <w:t> </w:t>
      </w:r>
      <w:r>
        <w:rPr>
          <w:sz w:val="18"/>
        </w:rPr>
        <w:t>LANE</w:t>
      </w:r>
      <w:r>
        <w:rPr>
          <w:spacing w:val="12"/>
          <w:sz w:val="18"/>
        </w:rPr>
        <w:t> </w:t>
      </w:r>
      <w:r>
        <w:rPr>
          <w:sz w:val="18"/>
        </w:rPr>
        <w:t>RETAIL,</w:t>
      </w:r>
      <w:r>
        <w:rPr>
          <w:spacing w:val="12"/>
          <w:sz w:val="18"/>
        </w:rPr>
        <w:t> </w:t>
      </w:r>
      <w:r>
        <w:rPr>
          <w:sz w:val="18"/>
        </w:rPr>
        <w:t>ATLANTA,</w:t>
      </w:r>
      <w:r>
        <w:rPr>
          <w:spacing w:val="12"/>
          <w:sz w:val="18"/>
        </w:rPr>
        <w:t> </w:t>
      </w:r>
      <w:r>
        <w:rPr>
          <w:sz w:val="18"/>
        </w:rPr>
        <w:t>GA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2"/>
          <w:sz w:val="18"/>
        </w:rPr>
        <w:t> </w:t>
      </w:r>
      <w:r>
        <w:rPr>
          <w:sz w:val="18"/>
        </w:rPr>
        <w:t>2011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2013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64" w:after="0"/>
        <w:ind w:left="4819" w:right="542" w:hanging="298"/>
        <w:jc w:val="left"/>
        <w:rPr>
          <w:sz w:val="18"/>
        </w:rPr>
      </w:pPr>
      <w:r>
        <w:rPr>
          <w:w w:val="105"/>
          <w:sz w:val="18"/>
        </w:rPr>
        <w:t>Supported the men's bottoms buyer on purchase order writing, sample tracking, and weekly recaps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409" w:hanging="298"/>
        <w:jc w:val="left"/>
        <w:rPr>
          <w:sz w:val="18"/>
        </w:rPr>
      </w:pPr>
      <w:r>
        <w:rPr>
          <w:w w:val="105"/>
          <w:sz w:val="18"/>
        </w:rPr>
        <w:t>Built the vendor scorecard used by the buying office for on-time delivery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242" w:hanging="298"/>
        <w:jc w:val="left"/>
        <w:rPr>
          <w:sz w:val="18"/>
        </w:rPr>
      </w:pPr>
      <w:r>
        <w:rPr>
          <w:w w:val="105"/>
          <w:sz w:val="18"/>
        </w:rPr>
        <w:t>Rotated through allocation for one quarter to learn the planning side of the </w:t>
      </w:r>
      <w:r>
        <w:rPr>
          <w:spacing w:val="-2"/>
          <w:w w:val="105"/>
          <w:sz w:val="18"/>
        </w:rPr>
        <w:t>business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ind w:left="0"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3392" id="docshape22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ind w:left="0" w:firstLine="0"/>
      </w:pPr>
    </w:p>
    <w:p>
      <w:pPr>
        <w:pStyle w:val="BodyText"/>
        <w:ind w:left="0" w:firstLine="0"/>
      </w:pPr>
    </w:p>
    <w:p>
      <w:pPr>
        <w:pStyle w:val="BodyText"/>
        <w:ind w:left="0" w:firstLine="0"/>
      </w:pPr>
    </w:p>
    <w:p>
      <w:pPr>
        <w:pStyle w:val="BodyText"/>
        <w:spacing w:before="12"/>
        <w:ind w:left="0" w:firstLine="0"/>
      </w:pPr>
    </w:p>
    <w:p>
      <w:pPr>
        <w:pStyle w:val="BodyText"/>
        <w:ind w:left="4336" w:firstLine="0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247649</wp:posOffset>
                </wp:positionH>
                <wp:positionV relativeFrom="paragraph">
                  <wp:posOffset>-675965</wp:posOffset>
                </wp:positionV>
                <wp:extent cx="2466975" cy="809625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53.225605pt;width:194.249985pt;height:637.499949pt;mso-position-horizontal-relative:page;mso-position-vertical-relative:paragraph;z-index:15731200" id="docshape23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2857499</wp:posOffset>
                </wp:positionH>
                <wp:positionV relativeFrom="paragraph">
                  <wp:posOffset>-352115</wp:posOffset>
                </wp:positionV>
                <wp:extent cx="4711065" cy="2762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0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8"/>
                                </a:lnTo>
                                <a:lnTo>
                                  <a:pt x="131327" y="166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725637pt;width:370.95pt;height:21.75pt;mso-position-horizontal-relative:page;mso-position-vertical-relative:paragraph;z-index:15731712" id="docshapegroup24" coordorigin="4500,-555" coordsize="7419,435">
                <v:shape style="position:absolute;left:4500;top:-555;width:7419;height:435" id="docshape25" coordorigin="4500,-555" coordsize="7419,435" path="m11918,-120l4717,-120,4707,-120,4644,-132,4588,-162,4543,-207,4513,-264,4500,-326,4500,-337,4500,-348,4513,-410,4543,-467,4588,-512,4644,-542,4707,-554,11918,-555,11918,-120xe" filled="true" fillcolor="#424242" stroked="false">
                  <v:path arrowok="t"/>
                  <v:fill type="solid"/>
                </v:shape>
                <v:shape style="position:absolute;left:4500;top:-555;width:7419;height:435" type="#_x0000_t202" id="docshape2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w w:val="105"/>
        </w:rPr>
        <w:t>M.B.A.,</w:t>
      </w:r>
      <w:r>
        <w:rPr>
          <w:rFonts w:ascii="Tahoma"/>
          <w:spacing w:val="25"/>
          <w:w w:val="105"/>
        </w:rPr>
        <w:t> </w:t>
      </w:r>
      <w:r>
        <w:rPr>
          <w:rFonts w:ascii="Tahoma"/>
          <w:w w:val="105"/>
        </w:rPr>
        <w:t>Kenan-Flagler</w:t>
      </w:r>
      <w:r>
        <w:rPr>
          <w:rFonts w:ascii="Tahoma"/>
          <w:spacing w:val="26"/>
          <w:w w:val="105"/>
        </w:rPr>
        <w:t> </w:t>
      </w:r>
      <w:r>
        <w:rPr>
          <w:rFonts w:ascii="Tahoma"/>
          <w:w w:val="105"/>
        </w:rPr>
        <w:t>Business</w:t>
      </w:r>
      <w:r>
        <w:rPr>
          <w:rFonts w:ascii="Tahoma"/>
          <w:spacing w:val="25"/>
          <w:w w:val="105"/>
        </w:rPr>
        <w:t> </w:t>
      </w:r>
      <w:r>
        <w:rPr>
          <w:rFonts w:ascii="Tahoma"/>
          <w:w w:val="105"/>
        </w:rPr>
        <w:t>School,</w:t>
      </w:r>
      <w:r>
        <w:rPr>
          <w:rFonts w:ascii="Tahoma"/>
          <w:spacing w:val="26"/>
          <w:w w:val="105"/>
        </w:rPr>
        <w:t> </w:t>
      </w:r>
      <w:r>
        <w:rPr>
          <w:rFonts w:ascii="Tahoma"/>
          <w:w w:val="105"/>
        </w:rPr>
        <w:t>University</w:t>
      </w:r>
      <w:r>
        <w:rPr>
          <w:rFonts w:ascii="Tahoma"/>
          <w:spacing w:val="25"/>
          <w:w w:val="105"/>
        </w:rPr>
        <w:t> </w:t>
      </w:r>
      <w:r>
        <w:rPr>
          <w:rFonts w:ascii="Tahoma"/>
          <w:w w:val="105"/>
        </w:rPr>
        <w:t>of</w:t>
      </w:r>
      <w:r>
        <w:rPr>
          <w:rFonts w:ascii="Tahoma"/>
          <w:spacing w:val="26"/>
          <w:w w:val="105"/>
        </w:rPr>
        <w:t> </w:t>
      </w:r>
      <w:r>
        <w:rPr>
          <w:rFonts w:ascii="Tahoma"/>
          <w:w w:val="105"/>
        </w:rPr>
        <w:t>North</w:t>
      </w:r>
      <w:r>
        <w:rPr>
          <w:rFonts w:ascii="Tahoma"/>
          <w:spacing w:val="25"/>
          <w:w w:val="105"/>
        </w:rPr>
        <w:t> </w:t>
      </w:r>
      <w:r>
        <w:rPr>
          <w:rFonts w:ascii="Tahoma"/>
          <w:w w:val="105"/>
        </w:rPr>
        <w:t>Carolina,</w:t>
      </w:r>
      <w:r>
        <w:rPr>
          <w:rFonts w:ascii="Tahoma"/>
          <w:spacing w:val="26"/>
          <w:w w:val="105"/>
        </w:rPr>
        <w:t> </w:t>
      </w:r>
      <w:r>
        <w:rPr>
          <w:rFonts w:ascii="Tahoma"/>
          <w:spacing w:val="-4"/>
          <w:w w:val="105"/>
        </w:rPr>
        <w:t>2016</w:t>
      </w:r>
    </w:p>
    <w:p>
      <w:pPr>
        <w:pStyle w:val="BodyText"/>
        <w:ind w:left="0" w:firstLine="0"/>
        <w:rPr>
          <w:rFonts w:ascii="Tahoma"/>
        </w:rPr>
      </w:pPr>
    </w:p>
    <w:p>
      <w:pPr>
        <w:pStyle w:val="BodyText"/>
        <w:spacing w:before="1"/>
        <w:ind w:left="4336" w:firstLine="0"/>
        <w:rPr>
          <w:rFonts w:ascii="Tahoma"/>
        </w:rPr>
      </w:pPr>
      <w:r>
        <w:rPr>
          <w:rFonts w:ascii="Tahoma"/>
          <w:w w:val="105"/>
        </w:rPr>
        <w:t>B.S.</w:t>
      </w:r>
      <w:r>
        <w:rPr>
          <w:rFonts w:ascii="Tahoma"/>
          <w:spacing w:val="11"/>
          <w:w w:val="105"/>
        </w:rPr>
        <w:t> </w:t>
      </w:r>
      <w:r>
        <w:rPr>
          <w:rFonts w:ascii="Tahoma"/>
          <w:w w:val="105"/>
        </w:rPr>
        <w:t>Marketing,</w:t>
      </w:r>
      <w:r>
        <w:rPr>
          <w:rFonts w:ascii="Tahoma"/>
          <w:spacing w:val="12"/>
          <w:w w:val="105"/>
        </w:rPr>
        <w:t> </w:t>
      </w:r>
      <w:r>
        <w:rPr>
          <w:rFonts w:ascii="Tahoma"/>
          <w:w w:val="105"/>
        </w:rPr>
        <w:t>Howard</w:t>
      </w:r>
      <w:r>
        <w:rPr>
          <w:rFonts w:ascii="Tahoma"/>
          <w:spacing w:val="12"/>
          <w:w w:val="105"/>
        </w:rPr>
        <w:t> </w:t>
      </w:r>
      <w:r>
        <w:rPr>
          <w:rFonts w:ascii="Tahoma"/>
          <w:w w:val="105"/>
        </w:rPr>
        <w:t>University,</w:t>
      </w:r>
      <w:r>
        <w:rPr>
          <w:rFonts w:ascii="Tahoma"/>
          <w:spacing w:val="11"/>
          <w:w w:val="105"/>
        </w:rPr>
        <w:t> </w:t>
      </w:r>
      <w:r>
        <w:rPr>
          <w:rFonts w:ascii="Tahoma"/>
          <w:spacing w:val="-4"/>
          <w:w w:val="105"/>
        </w:rPr>
        <w:t>2011</w: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4018" w:right="185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5"/>
      <w:ind w:left="48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david.okonkwo@example.co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2026-09-25T14:20:31Z</dcterms:created>
  <dcterms:modified xsi:type="dcterms:W3CDTF">2026-09-25T14:20:31Z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2026-09-25T00:00:00Z</vt:filetime>
  </property>
  <property fmtid="{D5CDD505-2E9C-101B-9397-08002B2CF9AE}" pid="5" name="Producer">
    <vt:lpwstr>pdf-merger-js</vt:lpwstr>
  </property>
</Properties>
</file>