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rPr>
          <w:rFonts w:ascii="Times New Roman"/>
          <w:sz w:val="74"/>
        </w:rPr>
      </w:pPr>
      <w:r>
        <w:rPr>
          <w:rFonts w:ascii="Times New Roman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10382237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10382237"/>
                              </a:lnTo>
                              <a:lnTo>
                                <a:pt x="186309" y="2609850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A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0688" id="docshape1" coordorigin="11625,0" coordsize="294,16858" path="m11918,0l11625,0,11625,4110,11625,16350,11625,16858,11918,16858,11918,16350,11918,4110,11918,0xe" filled="true" fillcolor="#21a699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before="0"/>
        <w:ind w:left="84" w:right="0" w:firstLine="0"/>
        <w:jc w:val="left"/>
        <w:rPr>
          <w:sz w:val="74"/>
        </w:rPr>
      </w:pPr>
      <w:r>
        <w:rPr>
          <w:color w:val="21A699"/>
          <w:sz w:val="74"/>
        </w:rPr>
        <w:t>Jeffrey</w:t>
      </w:r>
      <w:r>
        <w:rPr>
          <w:color w:val="21A699"/>
          <w:spacing w:val="-18"/>
          <w:sz w:val="74"/>
        </w:rPr>
        <w:t> </w:t>
      </w:r>
      <w:r>
        <w:rPr>
          <w:color w:val="21A699"/>
          <w:spacing w:val="-2"/>
          <w:sz w:val="74"/>
        </w:rPr>
        <w:t>Baker</w:t>
      </w:r>
    </w:p>
    <w:p>
      <w:pPr>
        <w:spacing w:before="237"/>
        <w:ind w:left="270" w:right="0" w:firstLine="0"/>
        <w:jc w:val="left"/>
        <w:rPr>
          <w:sz w:val="22"/>
        </w:rPr>
      </w:pPr>
      <w:r>
        <w:rPr>
          <w:color w:val="21A699"/>
          <w:sz w:val="22"/>
        </w:rPr>
        <w:t>Financial</w:t>
      </w:r>
      <w:r>
        <w:rPr>
          <w:color w:val="21A699"/>
          <w:spacing w:val="-12"/>
          <w:sz w:val="22"/>
        </w:rPr>
        <w:t> </w:t>
      </w:r>
      <w:r>
        <w:rPr>
          <w:color w:val="21A699"/>
          <w:spacing w:val="-2"/>
          <w:sz w:val="22"/>
        </w:rPr>
        <w:t>Advisor</w:t>
      </w:r>
    </w:p>
    <w:p>
      <w:pPr>
        <w:pStyle w:val="BodyText"/>
        <w:spacing w:before="49"/>
        <w:rPr>
          <w:sz w:val="22"/>
        </w:rPr>
      </w:pPr>
    </w:p>
    <w:p>
      <w:pPr>
        <w:spacing w:before="0"/>
        <w:ind w:left="270" w:right="0" w:firstLine="0"/>
        <w:jc w:val="left"/>
        <w:rPr>
          <w:sz w:val="22"/>
        </w:rPr>
      </w:pPr>
      <w:r>
        <w:rPr>
          <w:sz w:val="22"/>
        </w:rPr>
        <w:t>Nashville,</w:t>
      </w:r>
      <w:r>
        <w:rPr>
          <w:spacing w:val="-3"/>
          <w:sz w:val="22"/>
        </w:rPr>
        <w:t> </w:t>
      </w:r>
      <w:r>
        <w:rPr>
          <w:sz w:val="22"/>
        </w:rPr>
        <w:t>TN</w:t>
      </w:r>
      <w:r>
        <w:rPr>
          <w:spacing w:val="2"/>
          <w:sz w:val="22"/>
        </w:rPr>
        <w:t> </w:t>
      </w:r>
      <w:r>
        <w:rPr>
          <w:sz w:val="22"/>
        </w:rPr>
        <w:t>12345</w:t>
      </w:r>
      <w:r>
        <w:rPr>
          <w:spacing w:val="14"/>
          <w:sz w:val="22"/>
        </w:rPr>
        <w:t> </w:t>
      </w:r>
      <w:r>
        <w:rPr>
          <w:rFonts w:ascii="Nueva Std Extended"/>
          <w:sz w:val="24"/>
        </w:rPr>
        <w:t>|</w:t>
      </w:r>
      <w:r>
        <w:rPr>
          <w:rFonts w:ascii="Nueva Std Extended"/>
          <w:spacing w:val="18"/>
          <w:sz w:val="24"/>
        </w:rPr>
        <w:t> </w:t>
      </w:r>
      <w:r>
        <w:rPr>
          <w:sz w:val="22"/>
        </w:rPr>
        <w:t>(615)</w:t>
      </w:r>
      <w:r>
        <w:rPr>
          <w:spacing w:val="2"/>
          <w:sz w:val="22"/>
        </w:rPr>
        <w:t> </w:t>
      </w:r>
      <w:r>
        <w:rPr>
          <w:sz w:val="22"/>
        </w:rPr>
        <w:t>555-0187</w:t>
      </w:r>
      <w:r>
        <w:rPr>
          <w:spacing w:val="15"/>
          <w:sz w:val="22"/>
        </w:rPr>
        <w:t> </w:t>
      </w:r>
      <w:r>
        <w:rPr>
          <w:rFonts w:ascii="Nueva Std Extended"/>
          <w:sz w:val="24"/>
        </w:rPr>
        <w:t>|</w:t>
      </w:r>
      <w:r>
        <w:rPr>
          <w:rFonts w:ascii="Nueva Std Extended"/>
          <w:spacing w:val="18"/>
          <w:sz w:val="24"/>
        </w:rPr>
        <w:t> </w:t>
      </w:r>
      <w:hyperlink r:id="rId5">
        <w:r>
          <w:rPr>
            <w:spacing w:val="-2"/>
            <w:sz w:val="22"/>
          </w:rPr>
          <w:t>marcus.delacroix@example.com</w:t>
        </w:r>
      </w:hyperlink>
    </w:p>
    <w:p>
      <w:pPr>
        <w:pStyle w:val="BodyText"/>
        <w:spacing w:before="170"/>
        <w:rPr>
          <w:sz w:val="22"/>
        </w:rPr>
      </w:pPr>
    </w:p>
    <w:p>
      <w:pPr>
        <w:spacing w:before="1"/>
        <w:ind w:left="233" w:right="0" w:firstLine="0"/>
        <w:jc w:val="left"/>
        <w:rPr>
          <w:sz w:val="22"/>
        </w:rPr>
      </w:pPr>
      <w:r>
        <w:rPr>
          <w:color w:val="21A699"/>
          <w:spacing w:val="-2"/>
          <w:sz w:val="22"/>
        </w:rPr>
        <w:t>Proﬁle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504824</wp:posOffset>
                </wp:positionH>
                <wp:positionV relativeFrom="paragraph">
                  <wp:posOffset>113203</wp:posOffset>
                </wp:positionV>
                <wp:extent cx="634365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3436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 h="9525">
                              <a:moveTo>
                                <a:pt x="63436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343649" y="0"/>
                              </a:lnTo>
                              <a:lnTo>
                                <a:pt x="63436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13637pt;width:499.49996pt;height:.75pt;mso-position-horizontal-relative:page;mso-position-vertical-relative:paragraph;z-index:-15728640;mso-wrap-distance-left:0;mso-wrap-distance-right:0" id="docshape2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line="271" w:lineRule="auto" w:before="114"/>
        <w:ind w:left="233" w:right="238" w:firstLine="0"/>
        <w:jc w:val="left"/>
        <w:rPr>
          <w:sz w:val="15"/>
        </w:rPr>
      </w:pPr>
      <w:r>
        <w:rPr>
          <w:sz w:val="15"/>
        </w:rPr>
        <w:t>Associate</w:t>
      </w:r>
      <w:r>
        <w:rPr>
          <w:spacing w:val="-4"/>
          <w:sz w:val="15"/>
        </w:rPr>
        <w:t> </w:t>
      </w:r>
      <w:r>
        <w:rPr>
          <w:sz w:val="15"/>
        </w:rPr>
        <w:t>advisor</w:t>
      </w:r>
      <w:r>
        <w:rPr>
          <w:spacing w:val="-4"/>
          <w:sz w:val="15"/>
        </w:rPr>
        <w:t> </w:t>
      </w:r>
      <w:r>
        <w:rPr>
          <w:sz w:val="15"/>
        </w:rPr>
        <w:t>supporting</w:t>
      </w:r>
      <w:r>
        <w:rPr>
          <w:spacing w:val="-4"/>
          <w:sz w:val="15"/>
        </w:rPr>
        <w:t> </w:t>
      </w:r>
      <w:r>
        <w:rPr>
          <w:sz w:val="15"/>
        </w:rPr>
        <w:t>a</w:t>
      </w:r>
      <w:r>
        <w:rPr>
          <w:spacing w:val="-4"/>
          <w:sz w:val="15"/>
        </w:rPr>
        <w:t> </w:t>
      </w:r>
      <w:r>
        <w:rPr>
          <w:sz w:val="15"/>
        </w:rPr>
        <w:t>two-partner</w:t>
      </w:r>
      <w:r>
        <w:rPr>
          <w:spacing w:val="-4"/>
          <w:sz w:val="15"/>
        </w:rPr>
        <w:t> </w:t>
      </w:r>
      <w:r>
        <w:rPr>
          <w:sz w:val="15"/>
        </w:rPr>
        <w:t>practice</w:t>
      </w:r>
      <w:r>
        <w:rPr>
          <w:spacing w:val="-4"/>
          <w:sz w:val="15"/>
        </w:rPr>
        <w:t> </w:t>
      </w:r>
      <w:r>
        <w:rPr>
          <w:sz w:val="15"/>
        </w:rPr>
        <w:t>with</w:t>
      </w:r>
      <w:r>
        <w:rPr>
          <w:spacing w:val="-4"/>
          <w:sz w:val="15"/>
        </w:rPr>
        <w:t> </w:t>
      </w:r>
      <w:r>
        <w:rPr>
          <w:sz w:val="15"/>
        </w:rPr>
        <w:t>roughly</w:t>
      </w:r>
      <w:r>
        <w:rPr>
          <w:spacing w:val="-4"/>
          <w:sz w:val="15"/>
        </w:rPr>
        <w:t> </w:t>
      </w:r>
      <w:r>
        <w:rPr>
          <w:sz w:val="15"/>
        </w:rPr>
        <w:t>$145M</w:t>
      </w:r>
      <w:r>
        <w:rPr>
          <w:spacing w:val="-4"/>
          <w:sz w:val="15"/>
        </w:rPr>
        <w:t> </w:t>
      </w:r>
      <w:r>
        <w:rPr>
          <w:sz w:val="15"/>
        </w:rPr>
        <w:t>in</w:t>
      </w:r>
      <w:r>
        <w:rPr>
          <w:spacing w:val="-4"/>
          <w:sz w:val="15"/>
        </w:rPr>
        <w:t> </w:t>
      </w:r>
      <w:r>
        <w:rPr>
          <w:sz w:val="15"/>
        </w:rPr>
        <w:t>assets</w:t>
      </w:r>
      <w:r>
        <w:rPr>
          <w:spacing w:val="-4"/>
          <w:sz w:val="15"/>
        </w:rPr>
        <w:t> </w:t>
      </w:r>
      <w:r>
        <w:rPr>
          <w:sz w:val="15"/>
        </w:rPr>
        <w:t>across</w:t>
      </w:r>
      <w:r>
        <w:rPr>
          <w:spacing w:val="-4"/>
          <w:sz w:val="15"/>
        </w:rPr>
        <w:t> </w:t>
      </w:r>
      <w:r>
        <w:rPr>
          <w:sz w:val="15"/>
        </w:rPr>
        <w:t>230</w:t>
      </w:r>
      <w:r>
        <w:rPr>
          <w:spacing w:val="-4"/>
          <w:sz w:val="15"/>
        </w:rPr>
        <w:t> </w:t>
      </w:r>
      <w:r>
        <w:rPr>
          <w:sz w:val="15"/>
        </w:rPr>
        <w:t>households.</w:t>
      </w:r>
      <w:r>
        <w:rPr>
          <w:spacing w:val="-4"/>
          <w:sz w:val="15"/>
        </w:rPr>
        <w:t> </w:t>
      </w:r>
      <w:r>
        <w:rPr>
          <w:sz w:val="15"/>
        </w:rPr>
        <w:t>Registered</w:t>
      </w:r>
      <w:r>
        <w:rPr>
          <w:spacing w:val="-4"/>
          <w:sz w:val="15"/>
        </w:rPr>
        <w:t> </w:t>
      </w:r>
      <w:r>
        <w:rPr>
          <w:sz w:val="15"/>
        </w:rPr>
        <w:t>with</w:t>
      </w:r>
      <w:r>
        <w:rPr>
          <w:spacing w:val="-4"/>
          <w:sz w:val="15"/>
        </w:rPr>
        <w:t> </w:t>
      </w:r>
      <w:r>
        <w:rPr>
          <w:sz w:val="15"/>
        </w:rPr>
        <w:t>FINRA</w:t>
      </w:r>
      <w:r>
        <w:rPr>
          <w:spacing w:val="-11"/>
          <w:sz w:val="15"/>
        </w:rPr>
        <w:t> </w:t>
      </w:r>
      <w:r>
        <w:rPr>
          <w:sz w:val="15"/>
        </w:rPr>
        <w:t>Series</w:t>
      </w:r>
      <w:r>
        <w:rPr>
          <w:spacing w:val="-3"/>
          <w:sz w:val="15"/>
        </w:rPr>
        <w:t> </w:t>
      </w:r>
      <w:r>
        <w:rPr>
          <w:sz w:val="15"/>
        </w:rPr>
        <w:t>7</w:t>
      </w:r>
      <w:r>
        <w:rPr>
          <w:spacing w:val="-4"/>
          <w:sz w:val="15"/>
        </w:rPr>
        <w:t> </w:t>
      </w:r>
      <w:r>
        <w:rPr>
          <w:sz w:val="15"/>
        </w:rPr>
        <w:t>and</w:t>
      </w:r>
      <w:r>
        <w:rPr>
          <w:spacing w:val="-4"/>
          <w:sz w:val="15"/>
        </w:rPr>
        <w:t> </w:t>
      </w:r>
      <w:r>
        <w:rPr>
          <w:sz w:val="15"/>
        </w:rPr>
        <w:t>Series 66,</w:t>
      </w:r>
      <w:r>
        <w:rPr>
          <w:spacing w:val="-8"/>
          <w:sz w:val="15"/>
        </w:rPr>
        <w:t> </w:t>
      </w:r>
      <w:r>
        <w:rPr>
          <w:sz w:val="15"/>
        </w:rPr>
        <w:t>pursuing</w:t>
      </w:r>
      <w:r>
        <w:rPr>
          <w:spacing w:val="-8"/>
          <w:sz w:val="15"/>
        </w:rPr>
        <w:t> </w:t>
      </w:r>
      <w:r>
        <w:rPr>
          <w:sz w:val="15"/>
        </w:rPr>
        <w:t>the</w:t>
      </w:r>
      <w:r>
        <w:rPr>
          <w:spacing w:val="-8"/>
          <w:sz w:val="15"/>
        </w:rPr>
        <w:t> </w:t>
      </w:r>
      <w:r>
        <w:rPr>
          <w:sz w:val="15"/>
        </w:rPr>
        <w:t>Certiﬁed</w:t>
      </w:r>
      <w:r>
        <w:rPr>
          <w:spacing w:val="-8"/>
          <w:sz w:val="15"/>
        </w:rPr>
        <w:t> </w:t>
      </w:r>
      <w:r>
        <w:rPr>
          <w:sz w:val="15"/>
        </w:rPr>
        <w:t>Financial</w:t>
      </w:r>
      <w:r>
        <w:rPr>
          <w:spacing w:val="-8"/>
          <w:sz w:val="15"/>
        </w:rPr>
        <w:t> </w:t>
      </w:r>
      <w:r>
        <w:rPr>
          <w:sz w:val="15"/>
        </w:rPr>
        <w:t>Planner</w:t>
      </w:r>
      <w:r>
        <w:rPr>
          <w:spacing w:val="-8"/>
          <w:sz w:val="15"/>
        </w:rPr>
        <w:t> </w:t>
      </w:r>
      <w:r>
        <w:rPr>
          <w:sz w:val="15"/>
        </w:rPr>
        <w:t>credential</w:t>
      </w:r>
      <w:r>
        <w:rPr>
          <w:spacing w:val="-8"/>
          <w:sz w:val="15"/>
        </w:rPr>
        <w:t> </w:t>
      </w:r>
      <w:r>
        <w:rPr>
          <w:sz w:val="15"/>
        </w:rPr>
        <w:t>with</w:t>
      </w:r>
      <w:r>
        <w:rPr>
          <w:spacing w:val="-8"/>
          <w:sz w:val="15"/>
        </w:rPr>
        <w:t> </w:t>
      </w:r>
      <w:r>
        <w:rPr>
          <w:sz w:val="15"/>
        </w:rPr>
        <w:t>two</w:t>
      </w:r>
      <w:r>
        <w:rPr>
          <w:spacing w:val="-8"/>
          <w:sz w:val="15"/>
        </w:rPr>
        <w:t> </w:t>
      </w:r>
      <w:r>
        <w:rPr>
          <w:sz w:val="15"/>
        </w:rPr>
        <w:t>education</w:t>
      </w:r>
      <w:r>
        <w:rPr>
          <w:spacing w:val="-8"/>
          <w:sz w:val="15"/>
        </w:rPr>
        <w:t> </w:t>
      </w:r>
      <w:r>
        <w:rPr>
          <w:sz w:val="15"/>
        </w:rPr>
        <w:t>requirements</w:t>
      </w:r>
      <w:r>
        <w:rPr>
          <w:spacing w:val="-8"/>
          <w:sz w:val="15"/>
        </w:rPr>
        <w:t> </w:t>
      </w:r>
      <w:r>
        <w:rPr>
          <w:sz w:val="15"/>
        </w:rPr>
        <w:t>remaining.</w:t>
      </w:r>
      <w:r>
        <w:rPr>
          <w:spacing w:val="-8"/>
          <w:sz w:val="15"/>
        </w:rPr>
        <w:t> </w:t>
      </w:r>
      <w:r>
        <w:rPr>
          <w:sz w:val="15"/>
        </w:rPr>
        <w:t>Focused</w:t>
      </w:r>
      <w:r>
        <w:rPr>
          <w:spacing w:val="-8"/>
          <w:sz w:val="15"/>
        </w:rPr>
        <w:t> </w:t>
      </w:r>
      <w:r>
        <w:rPr>
          <w:sz w:val="15"/>
        </w:rPr>
        <w:t>on</w:t>
      </w:r>
      <w:r>
        <w:rPr>
          <w:spacing w:val="-8"/>
          <w:sz w:val="15"/>
        </w:rPr>
        <w:t> </w:t>
      </w:r>
      <w:r>
        <w:rPr>
          <w:sz w:val="15"/>
        </w:rPr>
        <w:t>ﬁnancial</w:t>
      </w:r>
      <w:r>
        <w:rPr>
          <w:spacing w:val="-8"/>
          <w:sz w:val="15"/>
        </w:rPr>
        <w:t> </w:t>
      </w:r>
      <w:r>
        <w:rPr>
          <w:sz w:val="15"/>
        </w:rPr>
        <w:t>plan</w:t>
      </w:r>
      <w:r>
        <w:rPr>
          <w:spacing w:val="-8"/>
          <w:sz w:val="15"/>
        </w:rPr>
        <w:t> </w:t>
      </w:r>
      <w:r>
        <w:rPr>
          <w:sz w:val="15"/>
        </w:rPr>
        <w:t>preparation,</w:t>
      </w:r>
      <w:r>
        <w:rPr>
          <w:spacing w:val="-8"/>
          <w:sz w:val="15"/>
        </w:rPr>
        <w:t> </w:t>
      </w:r>
      <w:r>
        <w:rPr>
          <w:sz w:val="15"/>
        </w:rPr>
        <w:t>client</w:t>
      </w:r>
      <w:r>
        <w:rPr>
          <w:spacing w:val="-8"/>
          <w:sz w:val="15"/>
        </w:rPr>
        <w:t> </w:t>
      </w:r>
      <w:r>
        <w:rPr>
          <w:sz w:val="15"/>
        </w:rPr>
        <w:t>service, and new-account onboarding.</w:t>
      </w:r>
    </w:p>
    <w:p>
      <w:pPr>
        <w:pStyle w:val="BodyText"/>
        <w:spacing w:before="92"/>
        <w:rPr>
          <w:sz w:val="15"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color w:val="21A699"/>
          <w:sz w:val="22"/>
        </w:rPr>
        <w:t>Professional</w:t>
      </w:r>
      <w:r>
        <w:rPr>
          <w:color w:val="21A699"/>
          <w:spacing w:val="1"/>
          <w:sz w:val="22"/>
        </w:rPr>
        <w:t> </w:t>
      </w:r>
      <w:r>
        <w:rPr>
          <w:color w:val="21A699"/>
          <w:spacing w:val="-2"/>
          <w:sz w:val="22"/>
        </w:rPr>
        <w:t>Experience</w:t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504824</wp:posOffset>
                </wp:positionH>
                <wp:positionV relativeFrom="paragraph">
                  <wp:posOffset>113544</wp:posOffset>
                </wp:positionV>
                <wp:extent cx="647700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40534pt;width:509.999959pt;height:.75pt;mso-position-horizontal-relative:page;mso-position-vertical-relative:paragraph;z-index:-15728128;mso-wrap-distance-left:0;mso-wrap-distance-right:0" id="docshape3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tabs>
          <w:tab w:pos="9124" w:val="left" w:leader="none"/>
        </w:tabs>
        <w:spacing w:before="101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Associate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Financial</w:t>
      </w:r>
      <w:r>
        <w:rPr>
          <w:b/>
          <w:spacing w:val="6"/>
          <w:sz w:val="18"/>
        </w:rPr>
        <w:t> </w:t>
      </w:r>
      <w:r>
        <w:rPr>
          <w:b/>
          <w:sz w:val="18"/>
        </w:rPr>
        <w:t>Advisor</w:t>
      </w:r>
      <w:r>
        <w:rPr>
          <w:b/>
          <w:spacing w:val="43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46"/>
          <w:sz w:val="20"/>
        </w:rPr>
        <w:t> </w:t>
      </w:r>
      <w:r>
        <w:rPr>
          <w:b/>
          <w:sz w:val="18"/>
        </w:rPr>
        <w:t>Cumberland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Financial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Partners,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Nashville,</w:t>
      </w:r>
      <w:r>
        <w:rPr>
          <w:b/>
          <w:spacing w:val="15"/>
          <w:sz w:val="18"/>
        </w:rPr>
        <w:t> </w:t>
      </w:r>
      <w:r>
        <w:rPr>
          <w:b/>
          <w:spacing w:val="-5"/>
          <w:sz w:val="18"/>
        </w:rPr>
        <w:t>TN</w:t>
      </w:r>
      <w:r>
        <w:rPr>
          <w:b/>
          <w:sz w:val="18"/>
        </w:rPr>
        <w:tab/>
      </w:r>
      <w:r>
        <w:rPr>
          <w:b/>
          <w:position w:val="3"/>
          <w:sz w:val="18"/>
        </w:rPr>
        <w:t>2022</w:t>
      </w:r>
      <w:r>
        <w:rPr>
          <w:b/>
          <w:spacing w:val="7"/>
          <w:position w:val="3"/>
          <w:sz w:val="18"/>
        </w:rPr>
        <w:t> </w:t>
      </w:r>
      <w:r>
        <w:rPr>
          <w:b/>
          <w:position w:val="3"/>
          <w:sz w:val="18"/>
        </w:rPr>
        <w:t>–</w:t>
      </w:r>
      <w:r>
        <w:rPr>
          <w:b/>
          <w:spacing w:val="7"/>
          <w:position w:val="3"/>
          <w:sz w:val="18"/>
        </w:rPr>
        <w:t> </w:t>
      </w:r>
      <w:r>
        <w:rPr>
          <w:b/>
          <w:spacing w:val="-2"/>
          <w:position w:val="3"/>
          <w:sz w:val="18"/>
        </w:rPr>
        <w:t>Present</w:t>
      </w:r>
    </w:p>
    <w:p>
      <w:pPr>
        <w:pStyle w:val="BodyText"/>
        <w:spacing w:before="17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0" w:after="0"/>
        <w:ind w:left="1702" w:right="243" w:hanging="298"/>
        <w:jc w:val="left"/>
        <w:rPr>
          <w:sz w:val="18"/>
        </w:rPr>
      </w:pPr>
      <w:r>
        <w:rPr>
          <w:w w:val="105"/>
          <w:sz w:val="18"/>
        </w:rPr>
        <w:t>Prepare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8-12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packets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pulling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updated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performance,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allocation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drift,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progress toward planning goals in eMoney.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93" w:after="0"/>
        <w:ind w:left="1702" w:right="242" w:hanging="298"/>
        <w:jc w:val="left"/>
        <w:rPr>
          <w:sz w:val="18"/>
        </w:rPr>
      </w:pPr>
      <w:r>
        <w:rPr>
          <w:w w:val="105"/>
          <w:sz w:val="18"/>
        </w:rPr>
        <w:t>Handle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new-account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paperwork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incoming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transfers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35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households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2023,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coordinating cost-basis carryover with the sending custodian.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01" w:lineRule="auto" w:before="107" w:after="0"/>
        <w:ind w:left="1702" w:right="253" w:hanging="298"/>
        <w:jc w:val="left"/>
        <w:rPr>
          <w:sz w:val="18"/>
        </w:rPr>
      </w:pPr>
      <w:r>
        <w:rPr>
          <w:w w:val="105"/>
          <w:sz w:val="18"/>
        </w:rPr>
        <w:t>Sit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second-chair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meetings,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taking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notes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owning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action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Redtail through completion.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98" w:after="0"/>
        <w:ind w:left="1702" w:right="119" w:hanging="298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beneﬁciary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audit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surfaced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accounts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outdated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missing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beneﬁciaries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 ﬁrm-wide review.</w:t>
      </w:r>
    </w:p>
    <w:p>
      <w:pPr>
        <w:tabs>
          <w:tab w:pos="10426" w:val="right" w:leader="none"/>
        </w:tabs>
        <w:spacing w:before="380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Client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Service</w:t>
      </w:r>
      <w:r>
        <w:rPr>
          <w:b/>
          <w:spacing w:val="5"/>
          <w:sz w:val="18"/>
        </w:rPr>
        <w:t> </w:t>
      </w:r>
      <w:r>
        <w:rPr>
          <w:b/>
          <w:sz w:val="18"/>
        </w:rPr>
        <w:t>Associate</w:t>
      </w:r>
      <w:r>
        <w:rPr>
          <w:b/>
          <w:spacing w:val="43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44"/>
          <w:sz w:val="20"/>
        </w:rPr>
        <w:t> </w:t>
      </w:r>
      <w:r>
        <w:rPr>
          <w:b/>
          <w:sz w:val="18"/>
        </w:rPr>
        <w:t>Cumberland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Financial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Partners,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Nashville,</w:t>
      </w:r>
      <w:r>
        <w:rPr>
          <w:b/>
          <w:spacing w:val="14"/>
          <w:sz w:val="18"/>
        </w:rPr>
        <w:t> </w:t>
      </w:r>
      <w:r>
        <w:rPr>
          <w:b/>
          <w:spacing w:val="-5"/>
          <w:sz w:val="18"/>
        </w:rPr>
        <w:t>TN</w:t>
      </w:r>
      <w:r>
        <w:rPr>
          <w:rFonts w:ascii="Times New Roman" w:hAnsi="Times New Roman"/>
          <w:sz w:val="18"/>
        </w:rPr>
        <w:tab/>
      </w:r>
      <w:r>
        <w:rPr>
          <w:b/>
          <w:spacing w:val="-4"/>
          <w:position w:val="3"/>
          <w:sz w:val="18"/>
        </w:rPr>
        <w:t>2021 </w:t>
      </w:r>
      <w:r>
        <w:rPr>
          <w:b/>
          <w:position w:val="3"/>
          <w:sz w:val="18"/>
        </w:rPr>
        <w:t>– 2022</w:t>
      </w:r>
    </w:p>
    <w:p>
      <w:pPr>
        <w:pStyle w:val="BodyText"/>
        <w:spacing w:before="17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0" w:after="0"/>
        <w:ind w:left="1702" w:right="615" w:hanging="298"/>
        <w:jc w:val="left"/>
        <w:rPr>
          <w:sz w:val="18"/>
        </w:rPr>
      </w:pPr>
      <w:r>
        <w:rPr>
          <w:w w:val="105"/>
          <w:sz w:val="18"/>
        </w:rPr>
        <w:t>Answered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inbound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distributions,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RMDs,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access,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resolving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requests </w:t>
      </w:r>
      <w:r>
        <w:rPr>
          <w:spacing w:val="-2"/>
          <w:w w:val="105"/>
          <w:sz w:val="18"/>
        </w:rPr>
        <w:t>same-day.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93" w:after="0"/>
        <w:ind w:left="1702" w:right="253" w:hanging="298"/>
        <w:jc w:val="left"/>
        <w:rPr>
          <w:sz w:val="18"/>
        </w:rPr>
      </w:pPr>
      <w:r>
        <w:rPr>
          <w:w w:val="105"/>
          <w:sz w:val="18"/>
        </w:rPr>
        <w:t>Processed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check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journal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requests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Schwab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Advisor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Center,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catching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mis-keyed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wire instructions before release.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240" w:lineRule="auto" w:before="68" w:after="0"/>
        <w:ind w:left="1701" w:right="0" w:hanging="296"/>
        <w:jc w:val="left"/>
        <w:rPr>
          <w:sz w:val="18"/>
        </w:rPr>
      </w:pPr>
      <w:r>
        <w:rPr>
          <w:w w:val="105"/>
          <w:sz w:val="18"/>
        </w:rPr>
        <w:t>Passed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FINRA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Series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Series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66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spacing w:val="-4"/>
          <w:w w:val="105"/>
          <w:sz w:val="18"/>
        </w:rPr>
        <w:t>job.</w:t>
      </w:r>
    </w:p>
    <w:p>
      <w:pPr>
        <w:spacing w:before="248"/>
        <w:ind w:left="233" w:right="0" w:firstLine="0"/>
        <w:jc w:val="left"/>
        <w:rPr>
          <w:sz w:val="22"/>
        </w:rPr>
      </w:pPr>
      <w:r>
        <w:rPr>
          <w:color w:val="21A699"/>
          <w:spacing w:val="-2"/>
          <w:sz w:val="22"/>
        </w:rPr>
        <w:t>Education</w:t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504824</wp:posOffset>
                </wp:positionH>
                <wp:positionV relativeFrom="paragraph">
                  <wp:posOffset>113713</wp:posOffset>
                </wp:positionV>
                <wp:extent cx="647700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53808pt;width:509.999959pt;height:.75pt;mso-position-horizontal-relative:page;mso-position-vertical-relative:paragraph;z-index:-15727616;mso-wrap-distance-left:0;mso-wrap-distance-right:0" id="docshape4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before="101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B.B.A.,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Finance,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minor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in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Economics,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Belmont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University,</w:t>
      </w:r>
      <w:r>
        <w:rPr>
          <w:b/>
          <w:spacing w:val="12"/>
          <w:sz w:val="18"/>
        </w:rPr>
        <w:t> </w:t>
      </w:r>
      <w:r>
        <w:rPr>
          <w:b/>
          <w:spacing w:val="-4"/>
          <w:sz w:val="18"/>
        </w:rPr>
        <w:t>2021</w:t>
      </w:r>
    </w:p>
    <w:p>
      <w:pPr>
        <w:pStyle w:val="BodyText"/>
        <w:rPr>
          <w:b/>
        </w:rPr>
      </w:pPr>
    </w:p>
    <w:p>
      <w:pPr>
        <w:pStyle w:val="BodyText"/>
        <w:spacing w:before="24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CFP</w:t>
      </w:r>
      <w:r>
        <w:rPr>
          <w:b/>
          <w:spacing w:val="11"/>
          <w:sz w:val="18"/>
        </w:rPr>
        <w:t> </w:t>
      </w:r>
      <w:r>
        <w:rPr>
          <w:b/>
          <w:sz w:val="18"/>
        </w:rPr>
        <w:t>Candidate,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two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education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modules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remaining,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exam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scheduled</w:t>
      </w:r>
      <w:r>
        <w:rPr>
          <w:b/>
          <w:spacing w:val="16"/>
          <w:sz w:val="18"/>
        </w:rPr>
        <w:t> </w:t>
      </w:r>
      <w:r>
        <w:rPr>
          <w:b/>
          <w:spacing w:val="-4"/>
          <w:sz w:val="18"/>
        </w:rPr>
        <w:t>2025</w:t>
      </w:r>
    </w:p>
    <w:p>
      <w:pPr>
        <w:pStyle w:val="BodyText"/>
        <w:rPr>
          <w:b/>
        </w:rPr>
      </w:pPr>
    </w:p>
    <w:p>
      <w:pPr>
        <w:pStyle w:val="BodyText"/>
        <w:spacing w:before="24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FINRA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Series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7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and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Series</w:t>
      </w:r>
      <w:r>
        <w:rPr>
          <w:b/>
          <w:spacing w:val="-5"/>
          <w:w w:val="105"/>
          <w:sz w:val="18"/>
        </w:rPr>
        <w:t> 66</w:t>
      </w:r>
    </w:p>
    <w:p>
      <w:pPr>
        <w:pStyle w:val="BodyText"/>
        <w:rPr>
          <w:b/>
        </w:rPr>
      </w:pPr>
    </w:p>
    <w:p>
      <w:pPr>
        <w:pStyle w:val="BodyText"/>
        <w:spacing w:before="31"/>
        <w:rPr>
          <w:b/>
        </w:rPr>
      </w:pPr>
    </w:p>
    <w:p>
      <w:pPr>
        <w:spacing w:before="1"/>
        <w:ind w:left="233" w:right="0" w:firstLine="0"/>
        <w:jc w:val="left"/>
        <w:rPr>
          <w:sz w:val="22"/>
        </w:rPr>
      </w:pPr>
      <w:r>
        <w:rPr>
          <w:color w:val="21A699"/>
          <w:sz w:val="22"/>
        </w:rPr>
        <w:t>Key</w:t>
      </w:r>
      <w:r>
        <w:rPr>
          <w:color w:val="21A699"/>
          <w:spacing w:val="1"/>
          <w:sz w:val="22"/>
        </w:rPr>
        <w:t> </w:t>
      </w:r>
      <w:r>
        <w:rPr>
          <w:color w:val="21A699"/>
          <w:spacing w:val="-2"/>
          <w:sz w:val="22"/>
        </w:rPr>
        <w:t>Skills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504824</wp:posOffset>
                </wp:positionH>
                <wp:positionV relativeFrom="paragraph">
                  <wp:posOffset>113143</wp:posOffset>
                </wp:positionV>
                <wp:extent cx="647700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08975pt;width:509.999959pt;height:.75pt;mso-position-horizontal-relative:page;mso-position-vertical-relative:paragraph;z-index:-15727104;mso-wrap-distance-left:0;mso-wrap-distance-right:0" id="docshape5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29" w:after="0"/>
        <w:ind w:left="529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Financial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plan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preparation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eMoney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Redtail</w:t>
      </w:r>
      <w:r>
        <w:rPr>
          <w:spacing w:val="11"/>
          <w:sz w:val="18"/>
        </w:rPr>
        <w:t> </w:t>
      </w:r>
      <w:r>
        <w:rPr>
          <w:spacing w:val="-5"/>
          <w:sz w:val="18"/>
        </w:rPr>
        <w:t>CRM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Schwab</w:t>
      </w:r>
      <w:r>
        <w:rPr>
          <w:spacing w:val="2"/>
          <w:sz w:val="18"/>
        </w:rPr>
        <w:t> </w:t>
      </w:r>
      <w:r>
        <w:rPr>
          <w:sz w:val="18"/>
        </w:rPr>
        <w:t>Advisor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Center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Account</w:t>
      </w:r>
      <w:r>
        <w:rPr>
          <w:spacing w:val="12"/>
          <w:sz w:val="18"/>
        </w:rPr>
        <w:t> </w:t>
      </w:r>
      <w:r>
        <w:rPr>
          <w:sz w:val="18"/>
        </w:rPr>
        <w:t>opening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incoming</w:t>
      </w:r>
      <w:r>
        <w:rPr>
          <w:spacing w:val="12"/>
          <w:sz w:val="18"/>
        </w:rPr>
        <w:t> </w:t>
      </w:r>
      <w:r>
        <w:rPr>
          <w:sz w:val="18"/>
        </w:rPr>
        <w:t>asset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transfers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Required</w:t>
      </w:r>
      <w:r>
        <w:rPr>
          <w:spacing w:val="16"/>
          <w:sz w:val="18"/>
        </w:rPr>
        <w:t> </w:t>
      </w:r>
      <w:r>
        <w:rPr>
          <w:sz w:val="18"/>
        </w:rPr>
        <w:t>minimum</w:t>
      </w:r>
      <w:r>
        <w:rPr>
          <w:spacing w:val="16"/>
          <w:sz w:val="18"/>
        </w:rPr>
        <w:t> </w:t>
      </w:r>
      <w:r>
        <w:rPr>
          <w:sz w:val="18"/>
        </w:rPr>
        <w:t>distribution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calculations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Beneﬁciary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titling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reviews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Client</w:t>
      </w:r>
      <w:r>
        <w:rPr>
          <w:spacing w:val="12"/>
          <w:sz w:val="18"/>
        </w:rPr>
        <w:t> </w:t>
      </w:r>
      <w:r>
        <w:rPr>
          <w:sz w:val="18"/>
        </w:rPr>
        <w:t>meeting</w:t>
      </w:r>
      <w:r>
        <w:rPr>
          <w:spacing w:val="13"/>
          <w:sz w:val="18"/>
        </w:rPr>
        <w:t> </w:t>
      </w:r>
      <w:r>
        <w:rPr>
          <w:sz w:val="18"/>
        </w:rPr>
        <w:t>notes</w:t>
      </w:r>
      <w:r>
        <w:rPr>
          <w:spacing w:val="13"/>
          <w:sz w:val="18"/>
        </w:rPr>
        <w:t> </w:t>
      </w:r>
      <w:r>
        <w:rPr>
          <w:sz w:val="18"/>
        </w:rPr>
        <w:t>and</w:t>
      </w:r>
      <w:r>
        <w:rPr>
          <w:spacing w:val="12"/>
          <w:sz w:val="18"/>
        </w:rPr>
        <w:t> </w:t>
      </w:r>
      <w:r>
        <w:rPr>
          <w:sz w:val="18"/>
        </w:rPr>
        <w:t>follow-</w:t>
      </w:r>
      <w:r>
        <w:rPr>
          <w:spacing w:val="-5"/>
          <w:sz w:val="18"/>
        </w:rPr>
        <w:t>up</w:t>
      </w:r>
    </w:p>
    <w:p>
      <w:pPr>
        <w:pStyle w:val="ListParagraph"/>
        <w:spacing w:after="0" w:line="351" w:lineRule="exact"/>
        <w:jc w:val="left"/>
        <w:rPr>
          <w:sz w:val="18"/>
        </w:rPr>
        <w:sectPr>
          <w:type w:val="continuous"/>
          <w:pgSz w:w="11920" w:h="16860"/>
          <w:pgMar w:top="0" w:bottom="0" w:left="566" w:right="85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323837"/>
                              </a:lnTo>
                              <a:lnTo>
                                <a:pt x="0" y="485762"/>
                              </a:lnTo>
                              <a:lnTo>
                                <a:pt x="0" y="2609850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2609850"/>
                              </a:lnTo>
                              <a:lnTo>
                                <a:pt x="186309" y="485762"/>
                              </a:lnTo>
                              <a:lnTo>
                                <a:pt x="186309" y="323837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A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1200" id="docshape6" coordorigin="11625,0" coordsize="294,16858" path="m11918,0l11625,0,11625,510,11625,765,11625,4110,11625,16858,11918,16858,11918,4110,11918,765,11918,510,11918,0xe" filled="true" fillcolor="#21a699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240" w:lineRule="auto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Microsoft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Excel</w:t>
      </w:r>
    </w:p>
    <w:sectPr>
      <w:pgSz w:w="11920" w:h="16860"/>
      <w:pgMar w:top="0" w:bottom="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3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0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70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8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6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8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1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2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croix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2026-09-21T16:26:46Z</dcterms:created>
  <dcterms:modified xsi:type="dcterms:W3CDTF">2026-09-21T16:26:46Z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