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1029" w:right="1180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Cynthia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7"/>
          <w:sz w:val="74"/>
        </w:rPr>
        <w:t>Wright</w:t>
      </w:r>
    </w:p>
    <w:p>
      <w:pPr>
        <w:pStyle w:val="Heading2"/>
      </w:pPr>
      <w:r>
        <w:rPr>
          <w:color w:val="FFFFFF"/>
          <w:spacing w:val="-2"/>
        </w:rPr>
        <w:t>Controller</w:t>
      </w:r>
    </w:p>
    <w:p>
      <w:pPr>
        <w:pStyle w:val="BodyText"/>
        <w:spacing w:line="273" w:lineRule="auto" w:before="178"/>
        <w:ind w:left="448" w:right="455"/>
      </w:pPr>
      <w:r>
        <w:rPr>
          <w:color w:val="FFFFFF"/>
          <w:w w:val="105"/>
        </w:rPr>
        <w:t>Sixteen years in accounting and ﬁnance back this Controller, including 6 as Controller at two sponsor- and venture-backed companies. Own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accounting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operations,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external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reporting,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technical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accounting,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audit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relationship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$310M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consumer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products</w:t>
      </w:r>
      <w:r>
        <w:rPr>
          <w:color w:val="FFFFFF"/>
          <w:spacing w:val="-6"/>
          <w:w w:val="105"/>
        </w:rPr>
        <w:t> </w:t>
      </w:r>
      <w:r>
        <w:rPr>
          <w:color w:val="FFFFFF"/>
          <w:w w:val="105"/>
        </w:rPr>
        <w:t>company.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280" w:left="425" w:right="283"/>
        </w:sectPr>
      </w:pPr>
    </w:p>
    <w:p>
      <w:pPr>
        <w:pStyle w:val="Heading1"/>
        <w:spacing w:before="203"/>
      </w:pPr>
      <w:r>
        <w:rPr>
          <w:smallCaps/>
          <w:color w:val="424242"/>
          <w:spacing w:val="-6"/>
        </w:rPr>
        <w:t>Contact</w:t>
      </w:r>
      <w:r>
        <w:rPr>
          <w:smallCaps/>
          <w:color w:val="424242"/>
          <w:spacing w:val="-3"/>
        </w:rPr>
        <w:t> </w:t>
      </w:r>
      <w:r>
        <w:rPr>
          <w:smallCaps/>
          <w:color w:val="424242"/>
          <w:spacing w:val="-4"/>
        </w:rPr>
        <w:t>Information</w:t>
      </w:r>
    </w:p>
    <w:p>
      <w:pPr>
        <w:pStyle w:val="BodyText"/>
        <w:spacing w:before="51"/>
        <w:rPr>
          <w:b/>
          <w:sz w:val="20"/>
        </w:rPr>
      </w:pPr>
    </w:p>
    <w:p>
      <w:pPr>
        <w:spacing w:before="1"/>
        <w:ind w:left="913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(503)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0164</w:t>
      </w:r>
    </w:p>
    <w:p>
      <w:pPr>
        <w:pStyle w:val="Heading1"/>
        <w:spacing w:before="53"/>
      </w:pPr>
      <w:r>
        <w:rPr>
          <w:b w:val="0"/>
        </w:rPr>
        <w:br w:type="column"/>
      </w:r>
      <w:r>
        <w:rPr>
          <w:smallCaps/>
          <w:color w:val="424242"/>
          <w:spacing w:val="6"/>
          <w:w w:val="90"/>
        </w:rPr>
        <w:t>Professional</w:t>
      </w:r>
      <w:r>
        <w:rPr>
          <w:smallCaps/>
          <w:color w:val="424242"/>
          <w:spacing w:val="55"/>
        </w:rPr>
        <w:t> </w:t>
      </w:r>
      <w:r>
        <w:rPr>
          <w:smallCaps/>
          <w:color w:val="424242"/>
          <w:spacing w:val="-2"/>
        </w:rPr>
        <w:t>Experience</w:t>
      </w:r>
    </w:p>
    <w:p>
      <w:pPr>
        <w:spacing w:line="268" w:lineRule="auto" w:before="180"/>
        <w:ind w:left="355" w:right="1111" w:firstLine="0"/>
        <w:jc w:val="left"/>
        <w:rPr>
          <w:sz w:val="18"/>
        </w:rPr>
      </w:pPr>
      <w:r>
        <w:rPr>
          <w:sz w:val="18"/>
        </w:rPr>
        <w:t>CONTROLLER </w:t>
      </w:r>
      <w:r>
        <w:rPr>
          <w:position w:val="2"/>
          <w:sz w:val="18"/>
        </w:rPr>
        <w:t>| </w:t>
      </w:r>
      <w:r>
        <w:rPr>
          <w:sz w:val="18"/>
        </w:rPr>
        <w:t>CEDAR HOLLOW OUTDOOR CO., PORTLAND, OR 2021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640" w:bottom="280" w:left="425" w:right="283"/>
          <w:cols w:num="2" w:equalWidth="0">
            <w:col w:w="2804" w:space="934"/>
            <w:col w:w="7474"/>
          </w:cols>
        </w:sectPr>
      </w:pPr>
    </w:p>
    <w:p>
      <w:pPr>
        <w:pStyle w:val="BodyText"/>
        <w:spacing w:before="56"/>
        <w:rPr>
          <w:sz w:val="18"/>
        </w:rPr>
      </w:pPr>
    </w:p>
    <w:p>
      <w:pPr>
        <w:spacing w:line="261" w:lineRule="auto" w:before="0"/>
        <w:ind w:left="913" w:right="116" w:firstLine="0"/>
        <w:jc w:val="left"/>
        <w:rPr>
          <w:sz w:val="18"/>
        </w:rPr>
      </w:pPr>
      <w:hyperlink r:id="rId5">
        <w:r>
          <w:rPr>
            <w:color w:val="424242"/>
            <w:spacing w:val="-2"/>
            <w:sz w:val="18"/>
          </w:rPr>
          <w:t>alaric.whitfield@example.co</w:t>
        </w:r>
      </w:hyperlink>
      <w:r>
        <w:rPr>
          <w:color w:val="424242"/>
          <w:spacing w:val="80"/>
          <w:w w:val="105"/>
          <w:sz w:val="18"/>
        </w:rPr>
        <w:t> </w:t>
      </w:r>
      <w:r>
        <w:rPr>
          <w:color w:val="424242"/>
          <w:spacing w:val="-10"/>
          <w:w w:val="105"/>
          <w:sz w:val="18"/>
        </w:rPr>
        <w:t>m</w:t>
      </w:r>
    </w:p>
    <w:p>
      <w:pPr>
        <w:pStyle w:val="BodyText"/>
        <w:spacing w:before="47"/>
        <w:rPr>
          <w:sz w:val="18"/>
        </w:rPr>
      </w:pPr>
    </w:p>
    <w:p>
      <w:pPr>
        <w:spacing w:before="0"/>
        <w:ind w:left="913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Portland,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w w:val="105"/>
          <w:sz w:val="18"/>
        </w:rPr>
        <w:t>OR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12345</w:t>
      </w:r>
    </w:p>
    <w:p>
      <w:pPr>
        <w:pStyle w:val="BodyText"/>
        <w:spacing w:before="152"/>
        <w:rPr>
          <w:sz w:val="18"/>
        </w:rPr>
      </w:pPr>
    </w:p>
    <w:p>
      <w:pPr>
        <w:pStyle w:val="Heading1"/>
      </w:pPr>
      <w:r>
        <w:rPr>
          <w:smallCaps/>
          <w:color w:val="424242"/>
          <w:spacing w:val="-2"/>
        </w:rPr>
        <w:t>Education</w:t>
      </w:r>
    </w:p>
    <w:p>
      <w:pPr>
        <w:pStyle w:val="BodyText"/>
        <w:spacing w:before="37"/>
        <w:rPr>
          <w:b/>
          <w:sz w:val="20"/>
        </w:rPr>
      </w:pPr>
    </w:p>
    <w:p>
      <w:pPr>
        <w:spacing w:line="268" w:lineRule="auto" w:before="0"/>
        <w:ind w:left="467" w:right="116" w:firstLine="0"/>
        <w:jc w:val="left"/>
        <w:rPr>
          <w:sz w:val="18"/>
        </w:rPr>
      </w:pPr>
      <w:r>
        <w:rPr>
          <w:color w:val="424242"/>
          <w:w w:val="105"/>
          <w:sz w:val="18"/>
        </w:rPr>
        <w:t>B.S. in Business Administration, Accounting concentration, University of Oregon, 2009</w:t>
      </w:r>
    </w:p>
    <w:p>
      <w:pPr>
        <w:pStyle w:val="BodyText"/>
        <w:spacing w:before="72"/>
        <w:rPr>
          <w:sz w:val="18"/>
        </w:rPr>
      </w:pPr>
    </w:p>
    <w:p>
      <w:pPr>
        <w:spacing w:line="278" w:lineRule="auto" w:before="0"/>
        <w:ind w:left="467" w:right="116" w:firstLine="0"/>
        <w:jc w:val="left"/>
        <w:rPr>
          <w:sz w:val="18"/>
        </w:rPr>
      </w:pPr>
      <w:r>
        <w:rPr>
          <w:color w:val="424242"/>
          <w:w w:val="105"/>
          <w:sz w:val="18"/>
        </w:rPr>
        <w:t>CPA, Oregon (active, in good </w:t>
      </w:r>
      <w:r>
        <w:rPr>
          <w:color w:val="424242"/>
          <w:spacing w:val="-2"/>
          <w:w w:val="105"/>
          <w:sz w:val="18"/>
        </w:rPr>
        <w:t>standing)</w:t>
      </w:r>
    </w:p>
    <w:p>
      <w:pPr>
        <w:pStyle w:val="BodyText"/>
        <w:spacing w:before="104"/>
        <w:rPr>
          <w:sz w:val="18"/>
        </w:rPr>
      </w:pPr>
    </w:p>
    <w:p>
      <w:pPr>
        <w:pStyle w:val="Heading1"/>
      </w:pPr>
      <w:r>
        <w:rPr>
          <w:smallCaps/>
          <w:color w:val="424242"/>
        </w:rPr>
        <w:t>Key</w:t>
      </w:r>
      <w:r>
        <w:rPr>
          <w:smallCaps/>
          <w:color w:val="424242"/>
          <w:spacing w:val="-6"/>
        </w:rPr>
        <w:t> </w:t>
      </w:r>
      <w:r>
        <w:rPr>
          <w:smallCaps/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62" w:after="0"/>
        <w:ind w:left="746" w:right="648" w:hanging="298"/>
        <w:jc w:val="left"/>
        <w:rPr>
          <w:position w:val="-7"/>
          <w:sz w:val="31"/>
        </w:rPr>
      </w:pPr>
      <w:r>
        <w:rPr/>
        <w:br w:type="column"/>
      </w:r>
      <w:r>
        <w:rPr>
          <w:w w:val="105"/>
          <w:sz w:val="16"/>
        </w:rPr>
        <w:t>Own accounting operations for a $310M direct-to-consumer and wholesale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consumer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products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company;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manage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general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ledger,</w:t>
      </w:r>
    </w:p>
    <w:p>
      <w:pPr>
        <w:pStyle w:val="BodyText"/>
        <w:spacing w:before="21"/>
        <w:ind w:left="746"/>
      </w:pPr>
      <w:r>
        <w:rPr>
          <w:w w:val="105"/>
        </w:rPr>
        <w:t>receivables,</w:t>
      </w:r>
      <w:r>
        <w:rPr>
          <w:spacing w:val="31"/>
          <w:w w:val="105"/>
        </w:rPr>
        <w:t> </w:t>
      </w:r>
      <w:r>
        <w:rPr>
          <w:w w:val="105"/>
        </w:rPr>
        <w:t>payables,</w:t>
      </w:r>
      <w:r>
        <w:rPr>
          <w:spacing w:val="32"/>
          <w:w w:val="105"/>
        </w:rPr>
        <w:t> </w:t>
      </w:r>
      <w:r>
        <w:rPr>
          <w:w w:val="105"/>
        </w:rPr>
        <w:t>payroll,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inventory</w:t>
      </w:r>
      <w:r>
        <w:rPr>
          <w:spacing w:val="32"/>
          <w:w w:val="105"/>
        </w:rPr>
        <w:t> </w:t>
      </w:r>
      <w:r>
        <w:rPr>
          <w:spacing w:val="-2"/>
          <w:w w:val="105"/>
        </w:rPr>
        <w:t>accounting.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17" w:after="0"/>
        <w:ind w:left="746" w:right="554" w:hanging="298"/>
        <w:jc w:val="left"/>
        <w:rPr>
          <w:position w:val="-7"/>
          <w:sz w:val="31"/>
        </w:rPr>
      </w:pPr>
      <w:r>
        <w:rPr>
          <w:w w:val="105"/>
          <w:sz w:val="16"/>
        </w:rPr>
        <w:t>Cut monthly close from 12 business days to 5 by moving reconciliations to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FloQast,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retiring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42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manual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journal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entry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templates,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standing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close</w:t>
      </w:r>
    </w:p>
    <w:p>
      <w:pPr>
        <w:pStyle w:val="BodyText"/>
        <w:spacing w:before="20"/>
        <w:ind w:left="746"/>
      </w:pPr>
      <w:r>
        <w:rPr>
          <w:w w:val="105"/>
        </w:rPr>
        <w:t>checklist</w:t>
      </w:r>
      <w:r>
        <w:rPr>
          <w:spacing w:val="24"/>
          <w:w w:val="105"/>
        </w:rPr>
        <w:t> </w:t>
      </w:r>
      <w:r>
        <w:rPr>
          <w:w w:val="105"/>
        </w:rPr>
        <w:t>owned</w:t>
      </w:r>
      <w:r>
        <w:rPr>
          <w:spacing w:val="24"/>
          <w:w w:val="105"/>
        </w:rPr>
        <w:t> </w:t>
      </w:r>
      <w:r>
        <w:rPr>
          <w:w w:val="105"/>
        </w:rPr>
        <w:t>by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senior</w:t>
      </w:r>
      <w:r>
        <w:rPr>
          <w:spacing w:val="24"/>
          <w:w w:val="105"/>
        </w:rPr>
        <w:t> </w:t>
      </w:r>
      <w:r>
        <w:rPr>
          <w:w w:val="105"/>
        </w:rPr>
        <w:t>general</w:t>
      </w:r>
      <w:r>
        <w:rPr>
          <w:spacing w:val="24"/>
          <w:w w:val="105"/>
        </w:rPr>
        <w:t> </w:t>
      </w:r>
      <w:r>
        <w:rPr>
          <w:w w:val="105"/>
        </w:rPr>
        <w:t>ledger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accountant.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17" w:after="0"/>
        <w:ind w:left="746" w:right="284" w:hanging="298"/>
        <w:jc w:val="left"/>
        <w:rPr>
          <w:position w:val="-7"/>
          <w:sz w:val="31"/>
        </w:rPr>
      </w:pPr>
      <w:r>
        <w:rPr>
          <w:w w:val="105"/>
          <w:sz w:val="16"/>
        </w:rPr>
        <w:t>Led the accounting workstream on a NetSuite implementation that replaced two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legacy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systems;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went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live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schedule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no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post-close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reopens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11" w:after="0"/>
        <w:ind w:left="746" w:right="68" w:hanging="298"/>
        <w:jc w:val="left"/>
        <w:rPr>
          <w:position w:val="-7"/>
          <w:sz w:val="31"/>
        </w:rPr>
      </w:pPr>
      <w:r>
        <w:rPr>
          <w:w w:val="105"/>
          <w:sz w:val="16"/>
        </w:rPr>
        <w:t>Manage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external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audit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top-tier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national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firm;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delivered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clean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opinion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 the first year after transitioning from a regional firm.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58" w:lineRule="auto" w:before="137" w:after="0"/>
        <w:ind w:left="746" w:right="103" w:hanging="298"/>
        <w:jc w:val="left"/>
        <w:rPr>
          <w:position w:val="-7"/>
          <w:sz w:val="31"/>
        </w:rPr>
      </w:pPr>
      <w:r>
        <w:rPr>
          <w:w w:val="105"/>
          <w:sz w:val="16"/>
        </w:rPr>
        <w:t>Partnered with the CFO on lender reporting for a $75M revolver, including monthly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borrowing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certificates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covenant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packages.</w:t>
      </w:r>
    </w:p>
    <w:p>
      <w:pPr>
        <w:pStyle w:val="BodyText"/>
        <w:spacing w:before="183"/>
      </w:pPr>
    </w:p>
    <w:p>
      <w:pPr>
        <w:spacing w:line="268" w:lineRule="auto" w:before="0"/>
        <w:ind w:left="114" w:right="1719" w:firstLine="0"/>
        <w:jc w:val="left"/>
        <w:rPr>
          <w:sz w:val="18"/>
        </w:rPr>
      </w:pPr>
      <w:r>
        <w:rPr>
          <w:sz w:val="18"/>
        </w:rPr>
        <w:t>CONTROLLER </w:t>
      </w:r>
      <w:r>
        <w:rPr>
          <w:position w:val="2"/>
          <w:sz w:val="18"/>
        </w:rPr>
        <w:t>| </w:t>
      </w:r>
      <w:r>
        <w:rPr>
          <w:sz w:val="18"/>
        </w:rPr>
        <w:t>HARBOR PEAK ANALYTICS, SEATTLE, WA 2018 – 2021</w:t>
      </w:r>
    </w:p>
    <w:p>
      <w:pPr>
        <w:pStyle w:val="ListParagraph"/>
        <w:numPr>
          <w:ilvl w:val="0"/>
          <w:numId w:val="1"/>
        </w:numPr>
        <w:tabs>
          <w:tab w:pos="744" w:val="left" w:leader="none"/>
          <w:tab w:pos="746" w:val="left" w:leader="none"/>
        </w:tabs>
        <w:spacing w:line="170" w:lineRule="auto" w:before="162" w:after="0"/>
        <w:ind w:left="746" w:right="264" w:hanging="298"/>
        <w:jc w:val="left"/>
        <w:rPr>
          <w:position w:val="-7"/>
          <w:sz w:val="31"/>
        </w:rPr>
      </w:pPr>
      <w:r>
        <w:rPr>
          <w:w w:val="105"/>
          <w:sz w:val="16"/>
        </w:rPr>
        <w:t>Built the accounting function at a Series B software company from 1 person to a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team of 6 as recurring revenue scaled from $8M to $34M.</w:t>
      </w:r>
    </w:p>
    <w:p>
      <w:pPr>
        <w:pStyle w:val="ListParagraph"/>
        <w:spacing w:after="0" w:line="170" w:lineRule="auto"/>
        <w:jc w:val="left"/>
        <w:rPr>
          <w:position w:val="-7"/>
          <w:sz w:val="31"/>
        </w:rPr>
        <w:sectPr>
          <w:type w:val="continuous"/>
          <w:pgSz w:w="11920" w:h="16860"/>
          <w:pgMar w:top="640" w:bottom="280" w:left="425" w:right="283"/>
          <w:cols w:num="2" w:equalWidth="0">
            <w:col w:w="3357" w:space="623"/>
            <w:col w:w="7232"/>
          </w:cols>
        </w:sectPr>
      </w:pP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116" w:after="0"/>
        <w:ind w:left="764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Revenue recognition, lease accounting, purchase</w:t>
      </w:r>
    </w:p>
    <w:p>
      <w:pPr>
        <w:spacing w:before="26"/>
        <w:ind w:left="764" w:right="0" w:firstLine="0"/>
        <w:jc w:val="left"/>
        <w:rPr>
          <w:sz w:val="18"/>
        </w:rPr>
      </w:pPr>
      <w:r>
        <w:rPr>
          <w:color w:val="424242"/>
          <w:spacing w:val="-2"/>
          <w:w w:val="105"/>
          <w:sz w:val="18"/>
        </w:rPr>
        <w:t>accounting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201" w:lineRule="auto" w:before="75" w:after="0"/>
        <w:ind w:left="764" w:right="825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Monthly close</w:t>
      </w:r>
      <w:r>
        <w:rPr>
          <w:color w:val="424242"/>
          <w:spacing w:val="-1"/>
          <w:w w:val="105"/>
          <w:sz w:val="18"/>
        </w:rPr>
        <w:t> </w:t>
      </w:r>
      <w:r>
        <w:rPr>
          <w:color w:val="424242"/>
          <w:w w:val="105"/>
          <w:sz w:val="18"/>
        </w:rPr>
        <w:t>and </w:t>
      </w:r>
      <w:r>
        <w:rPr>
          <w:color w:val="424242"/>
          <w:spacing w:val="-2"/>
          <w:w w:val="105"/>
          <w:sz w:val="18"/>
        </w:rPr>
        <w:t>consolidations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93" w:after="0"/>
        <w:ind w:left="764" w:right="324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ERP implementation (NetSuite, Sage Intacct)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30" w:lineRule="exact" w:before="45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FloQast,</w:t>
      </w:r>
      <w:r>
        <w:rPr>
          <w:color w:val="424242"/>
          <w:spacing w:val="13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Blackline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70" w:lineRule="auto" w:before="111" w:after="0"/>
        <w:ind w:left="764" w:right="710" w:hanging="298"/>
        <w:jc w:val="left"/>
        <w:rPr>
          <w:position w:val="-7"/>
          <w:sz w:val="31"/>
        </w:rPr>
      </w:pPr>
      <w:r>
        <w:rPr/>
        <w:br w:type="column"/>
      </w:r>
      <w:r>
        <w:rPr>
          <w:w w:val="105"/>
          <w:sz w:val="16"/>
        </w:rPr>
        <w:t>Selected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implemented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Sage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Intacct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Bill.com;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wrote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close calendar,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close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checklist,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policy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manual.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58" w:lineRule="auto" w:before="137" w:after="0"/>
        <w:ind w:left="764" w:right="501" w:hanging="298"/>
        <w:jc w:val="left"/>
        <w:rPr>
          <w:position w:val="-7"/>
          <w:sz w:val="31"/>
        </w:rPr>
      </w:pPr>
      <w:r>
        <w:rPr>
          <w:w w:val="105"/>
          <w:sz w:val="16"/>
        </w:rPr>
        <w:t>Owned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recognition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multi-year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subscription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contracts, including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usage-based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pricing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70" w:lineRule="auto" w:before="128" w:after="0"/>
        <w:ind w:left="764" w:right="243" w:hanging="298"/>
        <w:jc w:val="left"/>
        <w:rPr>
          <w:position w:val="-7"/>
          <w:sz w:val="31"/>
        </w:rPr>
      </w:pPr>
      <w:r>
        <w:rPr>
          <w:w w:val="105"/>
          <w:sz w:val="16"/>
        </w:rPr>
        <w:t>Delivered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first-ever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external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audit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no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material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adjustments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stood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up SOC 1 coordination in year 2.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70" w:lineRule="auto" w:before="112" w:after="0"/>
        <w:ind w:left="764" w:right="154" w:hanging="298"/>
        <w:jc w:val="left"/>
        <w:rPr>
          <w:position w:val="-5"/>
          <w:sz w:val="31"/>
        </w:rPr>
      </w:pPr>
      <w:r>
        <w:rPr>
          <w:w w:val="105"/>
          <w:sz w:val="16"/>
        </w:rPr>
        <w:t>Supported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priced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equity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rounds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due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diligence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rooms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diligence </w:t>
      </w:r>
      <w:r>
        <w:rPr>
          <w:spacing w:val="-4"/>
          <w:w w:val="105"/>
          <w:sz w:val="16"/>
        </w:rPr>
        <w:t>Q&amp;A.</w:t>
      </w:r>
    </w:p>
    <w:p>
      <w:pPr>
        <w:pStyle w:val="ListParagraph"/>
        <w:spacing w:after="0" w:line="170" w:lineRule="auto"/>
        <w:jc w:val="left"/>
        <w:rPr>
          <w:position w:val="-5"/>
          <w:sz w:val="31"/>
        </w:rPr>
        <w:sectPr>
          <w:type w:val="continuous"/>
          <w:pgSz w:w="11920" w:h="16860"/>
          <w:pgMar w:top="640" w:bottom="280" w:left="425" w:right="283"/>
          <w:cols w:num="2" w:equalWidth="0">
            <w:col w:w="3151" w:space="811"/>
            <w:col w:w="7250"/>
          </w:cols>
        </w:sectPr>
      </w:pP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51" w:after="0"/>
        <w:ind w:left="764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External audit management (Big 4 and regional)</w:t>
      </w:r>
    </w:p>
    <w:p>
      <w:pPr>
        <w:spacing w:line="268" w:lineRule="auto" w:before="65"/>
        <w:ind w:left="467" w:right="789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ASSISTANT CONTROLLER </w:t>
      </w:r>
      <w:r>
        <w:rPr>
          <w:position w:val="2"/>
          <w:sz w:val="18"/>
        </w:rPr>
        <w:t>| </w:t>
      </w:r>
      <w:r>
        <w:rPr>
          <w:sz w:val="18"/>
        </w:rPr>
        <w:t>TRELLISWAY INDUSTRIAL, TACOMA, WA 2015 – 2018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640" w:bottom="280" w:left="425" w:right="283"/>
          <w:cols w:num="2" w:equalWidth="0">
            <w:col w:w="3168" w:space="459"/>
            <w:col w:w="7585"/>
          </w:cols>
        </w:sectPr>
      </w:pP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42" w:after="0"/>
        <w:ind w:left="764" w:right="704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Lender reporting and covenant compliance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36" w:lineRule="exact" w:before="59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Technical</w:t>
      </w:r>
      <w:r>
        <w:rPr>
          <w:color w:val="424242"/>
          <w:spacing w:val="5"/>
          <w:w w:val="105"/>
          <w:sz w:val="18"/>
        </w:rPr>
        <w:t> </w:t>
      </w:r>
      <w:r>
        <w:rPr>
          <w:color w:val="424242"/>
          <w:w w:val="105"/>
          <w:sz w:val="18"/>
        </w:rPr>
        <w:t>accounting</w:t>
      </w:r>
      <w:r>
        <w:rPr>
          <w:color w:val="424242"/>
          <w:spacing w:val="5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memos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30" w:after="0"/>
        <w:ind w:left="764" w:right="24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Team</w:t>
      </w:r>
      <w:r>
        <w:rPr>
          <w:color w:val="424242"/>
          <w:spacing w:val="-5"/>
          <w:w w:val="105"/>
          <w:sz w:val="18"/>
        </w:rPr>
        <w:t> </w:t>
      </w:r>
      <w:r>
        <w:rPr>
          <w:color w:val="424242"/>
          <w:w w:val="105"/>
          <w:sz w:val="18"/>
        </w:rPr>
        <w:t>leadership</w:t>
      </w:r>
      <w:r>
        <w:rPr>
          <w:color w:val="424242"/>
          <w:spacing w:val="-5"/>
          <w:w w:val="105"/>
          <w:sz w:val="18"/>
        </w:rPr>
        <w:t> </w:t>
      </w:r>
      <w:r>
        <w:rPr>
          <w:color w:val="424242"/>
          <w:w w:val="105"/>
          <w:sz w:val="18"/>
        </w:rPr>
        <w:t>(11</w:t>
      </w:r>
      <w:r>
        <w:rPr>
          <w:color w:val="424242"/>
          <w:spacing w:val="-5"/>
          <w:w w:val="105"/>
          <w:sz w:val="18"/>
        </w:rPr>
        <w:t> </w:t>
      </w:r>
      <w:r>
        <w:rPr>
          <w:color w:val="424242"/>
          <w:w w:val="105"/>
          <w:sz w:val="18"/>
        </w:rPr>
        <w:t>direct and indirect reports)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201" w:lineRule="auto" w:before="83" w:after="0"/>
        <w:ind w:left="764" w:right="541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M&amp;A</w:t>
      </w:r>
      <w:r>
        <w:rPr>
          <w:color w:val="424242"/>
          <w:spacing w:val="-7"/>
          <w:w w:val="105"/>
          <w:sz w:val="18"/>
        </w:rPr>
        <w:t> </w:t>
      </w:r>
      <w:r>
        <w:rPr>
          <w:color w:val="424242"/>
          <w:w w:val="105"/>
          <w:sz w:val="18"/>
        </w:rPr>
        <w:t>due diligence and purchase accounting</w:t>
      </w:r>
    </w:p>
    <w:p>
      <w:pPr>
        <w:pStyle w:val="BodyText"/>
        <w:spacing w:before="29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58" w:lineRule="auto" w:before="0" w:after="0"/>
        <w:ind w:left="764" w:right="721" w:hanging="298"/>
        <w:jc w:val="left"/>
        <w:rPr>
          <w:position w:val="-7"/>
          <w:sz w:val="31"/>
        </w:rPr>
      </w:pPr>
      <w:r>
        <w:rPr>
          <w:w w:val="105"/>
          <w:sz w:val="16"/>
        </w:rPr>
        <w:t>Ran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close,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consolidations,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technical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accounting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5-entity industrial services company with $140M in revenue.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70" w:lineRule="auto" w:before="128" w:after="0"/>
        <w:ind w:left="764" w:right="247" w:hanging="298"/>
        <w:jc w:val="left"/>
        <w:rPr>
          <w:position w:val="-7"/>
          <w:sz w:val="31"/>
        </w:rPr>
      </w:pPr>
      <w:r>
        <w:rPr>
          <w:w w:val="105"/>
          <w:sz w:val="16"/>
        </w:rPr>
        <w:t>Led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lease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accounting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implementation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60+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real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estate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equipment </w:t>
      </w:r>
      <w:r>
        <w:rPr>
          <w:spacing w:val="-2"/>
          <w:w w:val="105"/>
          <w:sz w:val="16"/>
        </w:rPr>
        <w:t>leases.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28" w:lineRule="exact" w:before="50" w:after="0"/>
        <w:ind w:left="763" w:right="0" w:hanging="296"/>
        <w:jc w:val="left"/>
        <w:rPr>
          <w:position w:val="-7"/>
          <w:sz w:val="31"/>
        </w:rPr>
      </w:pPr>
      <w:r>
        <w:rPr>
          <w:w w:val="105"/>
          <w:sz w:val="16"/>
        </w:rPr>
        <w:t>Managed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audit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reviews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company's</w:t>
      </w:r>
      <w:r>
        <w:rPr>
          <w:spacing w:val="22"/>
          <w:w w:val="105"/>
          <w:sz w:val="16"/>
        </w:rPr>
        <w:t> </w:t>
      </w:r>
      <w:r>
        <w:rPr>
          <w:spacing w:val="-2"/>
          <w:w w:val="105"/>
          <w:sz w:val="16"/>
        </w:rPr>
        <w:t>lender.</w:t>
      </w: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28" w:lineRule="exact" w:before="0" w:after="0"/>
        <w:ind w:left="763" w:right="0" w:hanging="296"/>
        <w:jc w:val="left"/>
        <w:rPr>
          <w:position w:val="-7"/>
          <w:sz w:val="31"/>
        </w:rPr>
      </w:pPr>
      <w:r>
        <w:rPr>
          <w:w w:val="105"/>
          <w:sz w:val="16"/>
        </w:rPr>
        <w:t>Supervised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accountants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8"/>
          <w:w w:val="105"/>
          <w:sz w:val="16"/>
        </w:rPr>
        <w:t> </w:t>
      </w:r>
      <w:r>
        <w:rPr>
          <w:spacing w:val="-2"/>
          <w:w w:val="105"/>
          <w:sz w:val="16"/>
        </w:rPr>
        <w:t>payroll.</w:t>
      </w:r>
    </w:p>
    <w:p>
      <w:pPr>
        <w:pStyle w:val="ListParagraph"/>
        <w:spacing w:after="0" w:line="328" w:lineRule="exact"/>
        <w:jc w:val="left"/>
        <w:rPr>
          <w:position w:val="-7"/>
          <w:sz w:val="31"/>
        </w:rPr>
        <w:sectPr>
          <w:type w:val="continuous"/>
          <w:pgSz w:w="11920" w:h="16860"/>
          <w:pgMar w:top="640" w:bottom="280" w:left="425" w:right="283"/>
          <w:cols w:num="2" w:equalWidth="0">
            <w:col w:w="3285" w:space="677"/>
            <w:col w:w="7250"/>
          </w:cols>
        </w:sectPr>
      </w:pP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336" w:lineRule="exact" w:before="43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SOC</w:t>
      </w:r>
      <w:r>
        <w:rPr>
          <w:color w:val="424242"/>
          <w:spacing w:val="3"/>
          <w:w w:val="105"/>
          <w:sz w:val="18"/>
        </w:rPr>
        <w:t> </w:t>
      </w:r>
      <w:r>
        <w:rPr>
          <w:color w:val="424242"/>
          <w:w w:val="105"/>
          <w:sz w:val="18"/>
        </w:rPr>
        <w:t>1</w:t>
      </w:r>
      <w:r>
        <w:rPr>
          <w:color w:val="424242"/>
          <w:spacing w:val="4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  <w:tab w:pos="764" w:val="left" w:leader="none"/>
        </w:tabs>
        <w:spacing w:line="189" w:lineRule="auto" w:before="30" w:after="0"/>
        <w:ind w:left="764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Board and audit committee </w:t>
      </w:r>
      <w:r>
        <w:rPr>
          <w:color w:val="424242"/>
          <w:spacing w:val="-2"/>
          <w:w w:val="105"/>
          <w:sz w:val="18"/>
        </w:rPr>
        <w:t>reporting</w:t>
      </w:r>
    </w:p>
    <w:p>
      <w:pPr>
        <w:spacing w:line="268" w:lineRule="auto" w:before="119"/>
        <w:ind w:left="467" w:right="24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ACCOUNTING MANAGER </w:t>
      </w:r>
      <w:r>
        <w:rPr>
          <w:position w:val="2"/>
          <w:sz w:val="18"/>
        </w:rPr>
        <w:t>| </w:t>
      </w:r>
      <w:r>
        <w:rPr>
          <w:sz w:val="18"/>
        </w:rPr>
        <w:t>MERIDIAN FREIGHT LOGISTICS, PORTLAND, OR</w:t>
      </w:r>
      <w:r>
        <w:rPr>
          <w:spacing w:val="40"/>
          <w:sz w:val="18"/>
        </w:rPr>
        <w:t> </w:t>
      </w:r>
      <w:r>
        <w:rPr>
          <w:sz w:val="18"/>
        </w:rPr>
        <w:t>2012 – 2015</w:t>
      </w:r>
    </w:p>
    <w:p>
      <w:pPr>
        <w:pStyle w:val="ListParagraph"/>
        <w:numPr>
          <w:ilvl w:val="1"/>
          <w:numId w:val="1"/>
        </w:numPr>
        <w:tabs>
          <w:tab w:pos="1098" w:val="left" w:leader="none"/>
        </w:tabs>
        <w:spacing w:line="328" w:lineRule="exact" w:before="101" w:after="0"/>
        <w:ind w:left="1098" w:right="0" w:hanging="296"/>
        <w:jc w:val="left"/>
        <w:rPr>
          <w:sz w:val="16"/>
        </w:rPr>
      </w:pPr>
      <w:r>
        <w:rPr>
          <w:w w:val="105"/>
          <w:sz w:val="16"/>
        </w:rPr>
        <w:t>Managed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general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ledger,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close,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reconciliations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$70M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freight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brokerage.</w:t>
      </w:r>
    </w:p>
    <w:p>
      <w:pPr>
        <w:pStyle w:val="ListParagraph"/>
        <w:numPr>
          <w:ilvl w:val="1"/>
          <w:numId w:val="1"/>
        </w:numPr>
        <w:tabs>
          <w:tab w:pos="1098" w:val="left" w:leader="none"/>
        </w:tabs>
        <w:spacing w:line="293" w:lineRule="exact" w:before="0" w:after="0"/>
        <w:ind w:left="1098" w:right="0" w:hanging="296"/>
        <w:jc w:val="left"/>
        <w:rPr>
          <w:sz w:val="16"/>
        </w:rPr>
      </w:pPr>
      <w:r>
        <w:rPr>
          <w:w w:val="105"/>
          <w:sz w:val="16"/>
        </w:rPr>
        <w:t>Rebuilt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chart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2013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acquisition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doubled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entity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count.</w:t>
      </w:r>
    </w:p>
    <w:p>
      <w:pPr>
        <w:pStyle w:val="ListParagraph"/>
        <w:numPr>
          <w:ilvl w:val="1"/>
          <w:numId w:val="1"/>
        </w:numPr>
        <w:tabs>
          <w:tab w:pos="1098" w:val="left" w:leader="none"/>
        </w:tabs>
        <w:spacing w:line="321" w:lineRule="exact" w:before="0" w:after="0"/>
        <w:ind w:left="1098" w:right="0" w:hanging="296"/>
        <w:jc w:val="left"/>
        <w:rPr>
          <w:sz w:val="16"/>
        </w:rPr>
      </w:pPr>
      <w:r>
        <w:rPr>
          <w:w w:val="105"/>
          <w:sz w:val="16"/>
        </w:rPr>
        <w:t>Supervised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accountants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17"/>
          <w:w w:val="105"/>
          <w:sz w:val="16"/>
        </w:rPr>
        <w:t> </w:t>
      </w:r>
      <w:r>
        <w:rPr>
          <w:spacing w:val="-2"/>
          <w:w w:val="105"/>
          <w:sz w:val="16"/>
        </w:rPr>
        <w:t>lead.</w:t>
      </w:r>
    </w:p>
    <w:p>
      <w:pPr>
        <w:pStyle w:val="ListParagraph"/>
        <w:spacing w:after="0" w:line="321" w:lineRule="exact"/>
        <w:jc w:val="left"/>
        <w:rPr>
          <w:sz w:val="16"/>
        </w:rPr>
        <w:sectPr>
          <w:type w:val="continuous"/>
          <w:pgSz w:w="11920" w:h="16860"/>
          <w:pgMar w:top="640" w:bottom="280" w:left="425" w:right="283"/>
          <w:cols w:num="2" w:equalWidth="0">
            <w:col w:w="3116" w:space="511"/>
            <w:col w:w="7585"/>
          </w:cols>
        </w:sectPr>
      </w:pPr>
    </w:p>
    <w:p>
      <w:pPr>
        <w:pStyle w:val="BodyText"/>
        <w:spacing w:before="36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019299"/>
                            <a:ext cx="2600325" cy="868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8686800">
                                <a:moveTo>
                                  <a:pt x="0" y="8686799"/>
                                </a:moveTo>
                                <a:lnTo>
                                  <a:pt x="2600324" y="8686799"/>
                                </a:lnTo>
                                <a:lnTo>
                                  <a:pt x="26003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01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019300">
                                <a:moveTo>
                                  <a:pt x="7568183" y="2019299"/>
                                </a:moveTo>
                                <a:lnTo>
                                  <a:pt x="0" y="2019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019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1" y="2571749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99" y="2943224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13" y="3333749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0080" id="docshapegroup1" coordorigin="0,0" coordsize="11919,16860">
                <v:rect style="position:absolute;left:0;top:3180;width:4095;height:13680" id="docshape2" filled="true" fillcolor="#f4cccc" stroked="false">
                  <v:fill type="solid"/>
                </v:rect>
                <v:rect style="position:absolute;left:0;top:0;width:11919;height:3180" id="docshape3" filled="true" fillcolor="#424242" stroked="false">
                  <v:fill type="solid"/>
                </v:rect>
                <v:shape style="position:absolute;left:900;top:4050;width:255;height:261" type="#_x0000_t75" id="docshape4" stroked="false">
                  <v:imagedata r:id="rId6" o:title=""/>
                </v:shape>
                <v:shape style="position:absolute;left:900;top:4635;width:255;height:300" type="#_x0000_t75" id="docshape5" stroked="false">
                  <v:imagedata r:id="rId7" o:title=""/>
                </v:shape>
                <v:shape style="position:absolute;left:900;top:5250;width:255;height:263" type="#_x0000_t75" id="docshape6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line="268" w:lineRule="auto" w:before="0"/>
        <w:ind w:left="4094" w:right="1260" w:firstLine="0"/>
        <w:jc w:val="left"/>
        <w:rPr>
          <w:sz w:val="18"/>
        </w:rPr>
      </w:pPr>
      <w:r>
        <w:rPr>
          <w:sz w:val="18"/>
        </w:rPr>
        <w:t>AUDIT ASSOCIATE TO SENIOR </w:t>
      </w:r>
      <w:r>
        <w:rPr>
          <w:position w:val="2"/>
          <w:sz w:val="18"/>
        </w:rPr>
        <w:t>| </w:t>
      </w:r>
      <w:r>
        <w:rPr>
          <w:sz w:val="18"/>
        </w:rPr>
        <w:t>MOSS ADAMS, PORTLAND, OR 2009 – 2012</w:t>
      </w:r>
    </w:p>
    <w:p>
      <w:pPr>
        <w:pStyle w:val="ListParagraph"/>
        <w:numPr>
          <w:ilvl w:val="2"/>
          <w:numId w:val="1"/>
        </w:numPr>
        <w:tabs>
          <w:tab w:pos="4724" w:val="left" w:leader="none"/>
          <w:tab w:pos="4726" w:val="left" w:leader="none"/>
        </w:tabs>
        <w:spacing w:line="175" w:lineRule="auto" w:before="151" w:after="0"/>
        <w:ind w:left="4726" w:right="122" w:hanging="298"/>
        <w:jc w:val="left"/>
        <w:rPr>
          <w:position w:val="-6"/>
          <w:sz w:val="31"/>
        </w:rPr>
      </w:pPr>
      <w:r>
        <w:rPr>
          <w:w w:val="105"/>
          <w:sz w:val="16"/>
        </w:rPr>
        <w:t>Audit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review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engagements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private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middle-market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clients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transportation, distribution, and manufacturing.</w:t>
      </w:r>
    </w:p>
    <w:p>
      <w:pPr>
        <w:pStyle w:val="ListParagraph"/>
        <w:spacing w:after="0" w:line="175" w:lineRule="auto"/>
        <w:jc w:val="left"/>
        <w:rPr>
          <w:position w:val="-6"/>
          <w:sz w:val="31"/>
        </w:rPr>
        <w:sectPr>
          <w:type w:val="continuous"/>
          <w:pgSz w:w="11920" w:h="16860"/>
          <w:pgMar w:top="640" w:bottom="280" w:left="425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15729152" id="docshape7" filled="true" fillcolor="#f4cccc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48"/>
      </w:pPr>
    </w:p>
    <w:p>
      <w:pPr>
        <w:pStyle w:val="ListParagraph"/>
        <w:numPr>
          <w:ilvl w:val="2"/>
          <w:numId w:val="1"/>
        </w:numPr>
        <w:tabs>
          <w:tab w:pos="4725" w:val="left" w:leader="none"/>
        </w:tabs>
        <w:spacing w:line="314" w:lineRule="exact" w:before="0" w:after="0"/>
        <w:ind w:left="4725" w:right="0" w:hanging="296"/>
        <w:jc w:val="left"/>
        <w:rPr>
          <w:position w:val="-7"/>
          <w:sz w:val="31"/>
        </w:rPr>
      </w:pPr>
      <w:r>
        <w:rPr>
          <w:w w:val="105"/>
          <w:sz w:val="16"/>
        </w:rPr>
        <w:t>Promoted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Senior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led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fieldwork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clients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14"/>
          <w:w w:val="105"/>
          <w:sz w:val="16"/>
        </w:rPr>
        <w:t> </w:t>
      </w:r>
      <w:r>
        <w:rPr>
          <w:spacing w:val="-5"/>
          <w:w w:val="105"/>
          <w:sz w:val="16"/>
        </w:rPr>
        <w:t>to</w:t>
      </w:r>
    </w:p>
    <w:p>
      <w:pPr>
        <w:pStyle w:val="BodyText"/>
        <w:spacing w:line="141" w:lineRule="exact"/>
        <w:ind w:right="1180"/>
        <w:jc w:val="center"/>
      </w:pPr>
      <w:r>
        <w:rPr>
          <w:spacing w:val="-2"/>
          <w:w w:val="105"/>
        </w:rPr>
        <w:t>$180M.</w:t>
      </w:r>
    </w:p>
    <w:sectPr>
      <w:pgSz w:w="11920" w:h="16860"/>
      <w:pgMar w:top="0" w:bottom="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7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2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3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4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6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8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0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1044" w:right="1180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64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aric.whitfield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2026-09-26T12:15:12Z</dcterms:created>
  <dcterms:modified xsi:type="dcterms:W3CDTF">2026-09-26T12:15:12Z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2026-09-26T00:00:00Z</vt:filetime>
  </property>
  <property fmtid="{D5CDD505-2E9C-101B-9397-08002B2CF9AE}" pid="5" name="Producer">
    <vt:lpwstr>pdf-merger-js</vt:lpwstr>
  </property>
</Properties>
</file>