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(503)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555-0192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20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priya.chakraborty@example.com</w:t>
        </w:r>
      </w:hyperlink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r>
        <w:rPr>
          <w:color w:val="FFFFFF"/>
          <w:w w:val="105"/>
          <w:sz w:val="16"/>
        </w:rPr>
        <w:t>Portland,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ind w:left="0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James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Carter</w:t>
      </w:r>
    </w:p>
    <w:p>
      <w:pPr>
        <w:pStyle w:val="Heading2"/>
      </w:pPr>
      <w:r>
        <w:rPr>
          <w:color w:val="FFFFFF"/>
          <w:spacing w:val="-2"/>
        </w:rPr>
        <w:t>Theater</w:t>
      </w:r>
    </w:p>
    <w:p>
      <w:pPr>
        <w:spacing w:line="273" w:lineRule="auto" w:before="178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Union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stage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actor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decade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regional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credits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mid-size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large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resident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theaters.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company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rehearsal, workshopping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new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plays,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holding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down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long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runs.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Recent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focus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contemporary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women's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roles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new-play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development.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88"/>
        <w:ind w:left="0"/>
        <w:rPr>
          <w:sz w:val="24"/>
        </w:rPr>
      </w:pPr>
    </w:p>
    <w:p>
      <w:pPr>
        <w:pStyle w:val="Heading1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71" w:lineRule="auto" w:before="135"/>
        <w:ind w:left="576" w:right="129"/>
        <w:rPr>
          <w:position w:val="2"/>
        </w:rPr>
      </w:pPr>
      <w:r>
        <w:rPr/>
        <w:t>Master's in Acting, University of</w:t>
      </w:r>
      <w:r>
        <w:rPr>
          <w:spacing w:val="40"/>
        </w:rPr>
        <w:t> </w:t>
      </w:r>
      <w:r>
        <w:rPr/>
        <w:t>Washington Professional Actor Training Program, 2014 </w:t>
      </w:r>
      <w:r>
        <w:rPr>
          <w:position w:val="2"/>
        </w:rPr>
        <w:t>|</w:t>
      </w:r>
    </w:p>
    <w:p>
      <w:pPr>
        <w:pStyle w:val="BodyText"/>
        <w:spacing w:before="166"/>
        <w:ind w:left="0"/>
      </w:pPr>
    </w:p>
    <w:p>
      <w:pPr>
        <w:pStyle w:val="BodyText"/>
        <w:spacing w:line="283" w:lineRule="auto"/>
        <w:ind w:left="576" w:right="129"/>
        <w:rPr>
          <w:position w:val="2"/>
        </w:rPr>
      </w:pPr>
      <w:r>
        <w:rPr/>
        <w:t>BA in English, Wesleyan University, 2011 </w:t>
      </w:r>
      <w:r>
        <w:rPr>
          <w:position w:val="2"/>
        </w:rPr>
        <w:t>|</w:t>
      </w:r>
    </w:p>
    <w:p>
      <w:pPr>
        <w:pStyle w:val="BodyText"/>
        <w:spacing w:before="196"/>
        <w:ind w:left="0"/>
        <w:rPr>
          <w:sz w:val="20"/>
        </w:rPr>
      </w:pPr>
    </w:p>
    <w:p>
      <w:pPr>
        <w:spacing w:line="240" w:lineRule="auto"/>
        <w:ind w:left="0" w:right="-87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143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0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.75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90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7"/>
        <w:ind w:left="0"/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" w:after="0"/>
        <w:ind w:left="873" w:right="38" w:hanging="298"/>
        <w:jc w:val="left"/>
        <w:rPr>
          <w:sz w:val="18"/>
        </w:rPr>
      </w:pPr>
      <w:r>
        <w:rPr>
          <w:w w:val="105"/>
          <w:sz w:val="18"/>
        </w:rPr>
        <w:t>Classical text and heightened </w:t>
      </w:r>
      <w:r>
        <w:rPr>
          <w:spacing w:val="-2"/>
          <w:w w:val="105"/>
          <w:sz w:val="18"/>
        </w:rPr>
        <w:t>language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7" w:after="0"/>
        <w:ind w:left="873" w:right="232" w:hanging="298"/>
        <w:jc w:val="left"/>
        <w:rPr>
          <w:sz w:val="18"/>
        </w:rPr>
      </w:pPr>
      <w:r>
        <w:rPr>
          <w:w w:val="105"/>
          <w:sz w:val="18"/>
        </w:rPr>
        <w:t>New-play development and table work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51" w:hanging="298"/>
        <w:jc w:val="left"/>
        <w:rPr>
          <w:sz w:val="18"/>
        </w:rPr>
      </w:pPr>
      <w:r>
        <w:rPr>
          <w:w w:val="105"/>
          <w:sz w:val="18"/>
        </w:rPr>
        <w:t>Dialects: Received Pronunciation, Standard Irish,</w:t>
      </w:r>
    </w:p>
    <w:p>
      <w:pPr>
        <w:pStyle w:val="BodyText"/>
        <w:spacing w:line="261" w:lineRule="auto" w:before="40"/>
        <w:ind w:right="129"/>
      </w:pPr>
      <w:r>
        <w:rPr>
          <w:w w:val="105"/>
        </w:rPr>
        <w:t>West Bengali-inflected English, French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83" w:after="0"/>
        <w:ind w:left="873" w:right="269" w:hanging="298"/>
        <w:jc w:val="left"/>
        <w:rPr>
          <w:sz w:val="18"/>
        </w:rPr>
      </w:pPr>
      <w:r>
        <w:rPr>
          <w:w w:val="105"/>
          <w:sz w:val="18"/>
        </w:rPr>
        <w:t>Languages: conversational Bengali, basic French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7" w:after="0"/>
        <w:ind w:left="873" w:right="463" w:hanging="298"/>
        <w:jc w:val="left"/>
        <w:rPr>
          <w:sz w:val="18"/>
        </w:rPr>
      </w:pPr>
      <w:r>
        <w:rPr>
          <w:w w:val="105"/>
          <w:sz w:val="18"/>
        </w:rPr>
        <w:t>Stage combat: unarmed, single sword, rapier and</w:t>
      </w:r>
    </w:p>
    <w:p>
      <w:pPr>
        <w:pStyle w:val="BodyText"/>
        <w:spacing w:before="26"/>
      </w:pPr>
      <w:r>
        <w:rPr>
          <w:spacing w:val="-2"/>
          <w:w w:val="110"/>
        </w:rPr>
        <w:t>dagger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9" w:after="0"/>
        <w:ind w:left="873" w:right="38" w:hanging="298"/>
        <w:jc w:val="left"/>
        <w:rPr>
          <w:sz w:val="18"/>
        </w:rPr>
      </w:pPr>
      <w:r>
        <w:rPr>
          <w:w w:val="105"/>
          <w:sz w:val="18"/>
        </w:rPr>
        <w:t>Voice: mezzo-soprano, belt to </w:t>
      </w:r>
      <w:r>
        <w:rPr>
          <w:spacing w:val="-6"/>
          <w:w w:val="105"/>
          <w:sz w:val="18"/>
        </w:rPr>
        <w:t>F5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570" w:hanging="298"/>
        <w:jc w:val="left"/>
        <w:rPr>
          <w:sz w:val="18"/>
        </w:rPr>
      </w:pPr>
      <w:r>
        <w:rPr>
          <w:w w:val="105"/>
          <w:sz w:val="18"/>
        </w:rPr>
        <w:t>Movement: Suzuki, Viewpoints, Feldenkrais</w:t>
      </w: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Principal</w:t>
      </w:r>
      <w:r>
        <w:rPr>
          <w:spacing w:val="1"/>
          <w:w w:val="105"/>
        </w:rPr>
        <w:t> </w:t>
      </w:r>
      <w:r>
        <w:rPr>
          <w:w w:val="105"/>
        </w:rPr>
        <w:t>Actor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(Nora)</w:t>
      </w:r>
    </w:p>
    <w:p>
      <w:pPr>
        <w:pStyle w:val="BodyText"/>
        <w:spacing w:before="36"/>
        <w:ind w:left="576"/>
      </w:pPr>
      <w:r>
        <w:rPr>
          <w:w w:val="105"/>
        </w:rPr>
        <w:t>Cascade</w:t>
      </w:r>
      <w:r>
        <w:rPr>
          <w:spacing w:val="8"/>
          <w:w w:val="105"/>
        </w:rPr>
        <w:t> </w:t>
      </w:r>
      <w:r>
        <w:rPr>
          <w:w w:val="105"/>
        </w:rPr>
        <w:t>Repertory</w:t>
      </w:r>
      <w:r>
        <w:rPr>
          <w:spacing w:val="8"/>
          <w:w w:val="105"/>
        </w:rPr>
        <w:t> </w:t>
      </w:r>
      <w:r>
        <w:rPr>
          <w:w w:val="105"/>
        </w:rPr>
        <w:t>Theatre,</w:t>
      </w:r>
      <w:r>
        <w:rPr>
          <w:spacing w:val="8"/>
          <w:w w:val="105"/>
        </w:rPr>
        <w:t> </w:t>
      </w:r>
      <w:r>
        <w:rPr>
          <w:w w:val="105"/>
        </w:rPr>
        <w:t>Portland,</w:t>
      </w:r>
      <w:r>
        <w:rPr>
          <w:spacing w:val="9"/>
          <w:w w:val="105"/>
        </w:rPr>
        <w:t> </w:t>
      </w:r>
      <w:r>
        <w:rPr>
          <w:w w:val="105"/>
        </w:rPr>
        <w:t>OR,</w:t>
      </w:r>
      <w:r>
        <w:rPr>
          <w:spacing w:val="65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8"/>
          <w:w w:val="105"/>
          <w:position w:val="2"/>
        </w:rPr>
        <w:t> </w:t>
      </w:r>
      <w:r>
        <w:rPr>
          <w:w w:val="105"/>
        </w:rPr>
        <w:t>2022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  <w:ind w:left="0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0" w:after="0"/>
        <w:ind w:left="1004" w:right="89" w:hanging="298"/>
        <w:jc w:val="left"/>
        <w:rPr>
          <w:position w:val="-2"/>
          <w:sz w:val="31"/>
        </w:rPr>
      </w:pPr>
      <w:r>
        <w:rPr>
          <w:w w:val="105"/>
          <w:sz w:val="18"/>
        </w:rPr>
        <w:t>Played Nora in A Doll's House, Part 2 across 38 performances, extended twice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 subscriber demand.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420" w:hanging="298"/>
        <w:jc w:val="left"/>
        <w:rPr>
          <w:position w:val="-4"/>
          <w:sz w:val="31"/>
        </w:rPr>
      </w:pPr>
      <w:r>
        <w:rPr>
          <w:w w:val="105"/>
          <w:sz w:val="18"/>
        </w:rPr>
        <w:t>Originated the role of Amina in a new commission by a resident playwright, workshopped over two development readings before the mainstage run.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363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Held the lead in a two-hander that toured to three partner venues in Oregon and Washington.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</w:tabs>
        <w:spacing w:line="343" w:lineRule="exact" w:before="43" w:after="0"/>
        <w:ind w:left="100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Coached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understudies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put-in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rehearsals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season.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25" w:after="0"/>
        <w:ind w:left="1004" w:right="63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Contributed to season-selection meetings as a rotating artistic-associate </w:t>
      </w:r>
      <w:r>
        <w:rPr>
          <w:spacing w:val="-2"/>
          <w:w w:val="105"/>
          <w:sz w:val="18"/>
        </w:rPr>
        <w:t>guest.</w:t>
      </w:r>
    </w:p>
    <w:p>
      <w:pPr>
        <w:pStyle w:val="BodyText"/>
        <w:spacing w:before="118"/>
        <w:ind w:left="0"/>
      </w:pPr>
    </w:p>
    <w:p>
      <w:pPr>
        <w:pStyle w:val="BodyText"/>
        <w:ind w:left="576"/>
      </w:pPr>
      <w:r>
        <w:rPr>
          <w:w w:val="105"/>
        </w:rPr>
        <w:t>Actor,</w:t>
      </w:r>
      <w:r>
        <w:rPr>
          <w:spacing w:val="8"/>
          <w:w w:val="105"/>
        </w:rPr>
        <w:t> </w:t>
      </w:r>
      <w:r>
        <w:rPr>
          <w:w w:val="105"/>
        </w:rPr>
        <w:t>Multiple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Contracts</w:t>
      </w:r>
    </w:p>
    <w:p>
      <w:pPr>
        <w:pStyle w:val="BodyText"/>
        <w:spacing w:before="37"/>
        <w:ind w:left="576"/>
      </w:pPr>
      <w:r>
        <w:rPr>
          <w:w w:val="105"/>
        </w:rPr>
        <w:t>Ironwood</w:t>
      </w:r>
      <w:r>
        <w:rPr>
          <w:spacing w:val="6"/>
          <w:w w:val="105"/>
        </w:rPr>
        <w:t> </w:t>
      </w:r>
      <w:r>
        <w:rPr>
          <w:w w:val="105"/>
        </w:rPr>
        <w:t>Stage</w:t>
      </w:r>
      <w:r>
        <w:rPr>
          <w:spacing w:val="7"/>
          <w:w w:val="105"/>
        </w:rPr>
        <w:t> </w:t>
      </w:r>
      <w:r>
        <w:rPr>
          <w:w w:val="105"/>
        </w:rPr>
        <w:t>Festival,</w:t>
      </w:r>
      <w:r>
        <w:rPr>
          <w:spacing w:val="7"/>
          <w:w w:val="105"/>
        </w:rPr>
        <w:t> </w:t>
      </w:r>
      <w:r>
        <w:rPr>
          <w:w w:val="105"/>
        </w:rPr>
        <w:t>Ashland,</w:t>
      </w:r>
      <w:r>
        <w:rPr>
          <w:spacing w:val="6"/>
          <w:w w:val="105"/>
        </w:rPr>
        <w:t> </w:t>
      </w:r>
      <w:r>
        <w:rPr>
          <w:w w:val="105"/>
        </w:rPr>
        <w:t>OR,</w:t>
      </w:r>
      <w:r>
        <w:rPr>
          <w:spacing w:val="6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2018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54"/>
        <w:ind w:left="0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0" w:after="0"/>
        <w:ind w:left="1004" w:right="640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Performed six roles across four rotating rep seasons, including Beatrice, Isabella, and Hermione.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9" w:after="0"/>
        <w:ind w:left="1004" w:right="538" w:hanging="298"/>
        <w:jc w:val="left"/>
        <w:rPr>
          <w:position w:val="-4"/>
          <w:sz w:val="31"/>
        </w:rPr>
      </w:pPr>
      <w:r>
        <w:rPr>
          <w:w w:val="105"/>
          <w:sz w:val="18"/>
        </w:rPr>
        <w:t>Averaged 122 performances per season in rotating rep, no missed shows across the four-year span.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7" w:after="0"/>
        <w:ind w:left="1004" w:right="451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vocal warm-ups for the acting company three mornings a week for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2020-21 season.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82" w:after="0"/>
        <w:ind w:left="1004" w:right="139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Selected as the company representative for the festival's donor and education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events.</w:t>
      </w:r>
    </w:p>
    <w:p>
      <w:pPr>
        <w:pStyle w:val="BodyText"/>
        <w:spacing w:before="118"/>
        <w:ind w:left="0"/>
      </w:pPr>
    </w:p>
    <w:p>
      <w:pPr>
        <w:pStyle w:val="BodyText"/>
        <w:ind w:left="576"/>
      </w:pPr>
      <w:r>
        <w:rPr/>
        <w:t>Freelance</w:t>
      </w:r>
      <w:r>
        <w:rPr>
          <w:spacing w:val="46"/>
        </w:rPr>
        <w:t> </w:t>
      </w:r>
      <w:r>
        <w:rPr>
          <w:spacing w:val="-2"/>
        </w:rPr>
        <w:t>Actor</w:t>
      </w:r>
    </w:p>
    <w:p>
      <w:pPr>
        <w:pStyle w:val="BodyText"/>
        <w:spacing w:before="37"/>
        <w:ind w:left="576"/>
        <w:rPr>
          <w:position w:val="2"/>
        </w:rPr>
      </w:pPr>
      <w:r>
        <w:rPr>
          <w:w w:val="105"/>
        </w:rPr>
        <w:t>Regional</w:t>
      </w:r>
      <w:r>
        <w:rPr>
          <w:spacing w:val="9"/>
          <w:w w:val="105"/>
        </w:rPr>
        <w:t> </w:t>
      </w:r>
      <w:r>
        <w:rPr>
          <w:w w:val="105"/>
        </w:rPr>
        <w:t>and</w:t>
      </w:r>
      <w:r>
        <w:rPr>
          <w:spacing w:val="10"/>
          <w:w w:val="105"/>
        </w:rPr>
        <w:t> </w:t>
      </w:r>
      <w:r>
        <w:rPr>
          <w:w w:val="105"/>
        </w:rPr>
        <w:t>NYC,</w:t>
      </w:r>
      <w:r>
        <w:rPr>
          <w:spacing w:val="9"/>
          <w:w w:val="105"/>
        </w:rPr>
        <w:t> </w:t>
      </w:r>
      <w:r>
        <w:rPr>
          <w:w w:val="105"/>
        </w:rPr>
        <w:t>2014-2018,</w:t>
      </w:r>
      <w:r>
        <w:rPr>
          <w:spacing w:val="67"/>
          <w:w w:val="105"/>
        </w:rPr>
        <w:t> </w:t>
      </w:r>
      <w:r>
        <w:rPr>
          <w:spacing w:val="-10"/>
          <w:w w:val="105"/>
          <w:position w:val="2"/>
        </w:rPr>
        <w:t>|</w:t>
      </w:r>
    </w:p>
    <w:p>
      <w:pPr>
        <w:pStyle w:val="BodyText"/>
        <w:spacing w:after="0"/>
        <w:rPr>
          <w:position w:val="2"/>
        </w:rPr>
        <w:sectPr>
          <w:type w:val="continuous"/>
          <w:pgSz w:w="11920" w:h="16860"/>
          <w:pgMar w:top="420" w:bottom="280" w:left="0" w:right="141"/>
          <w:cols w:num="2" w:equalWidth="0">
            <w:col w:w="3487" w:space="381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6" w:lineRule="exact" w:before="58" w:after="0"/>
        <w:ind w:left="87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695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953250">
                                <a:moveTo>
                                  <a:pt x="9524" y="6953249"/>
                                </a:moveTo>
                                <a:lnTo>
                                  <a:pt x="0" y="69532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953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171949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61950"/>
                                </a:lnTo>
                                <a:lnTo>
                                  <a:pt x="267347" y="361950"/>
                                </a:lnTo>
                                <a:lnTo>
                                  <a:pt x="276707" y="371309"/>
                                </a:lnTo>
                                <a:lnTo>
                                  <a:pt x="309778" y="396684"/>
                                </a:lnTo>
                                <a:lnTo>
                                  <a:pt x="347167" y="415112"/>
                                </a:lnTo>
                                <a:lnTo>
                                  <a:pt x="387438" y="425907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364" y="361950"/>
                                </a:lnTo>
                                <a:lnTo>
                                  <a:pt x="2238362" y="361950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257674"/>
                            <a:ext cx="276224" cy="266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352" id="docshapegroup3" coordorigin="0,0" coordsize="11919,16860">
                <v:shape style="position:absolute;left:3734;top:3390;width:15;height:13470" id="docshape4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5" filled="true" fillcolor="#424242" stroked="false">
                  <v:fill type="solid"/>
                </v:rect>
                <v:shape style="position:absolute;left:4199;top:3630;width:7719;height:675" id="docshape6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7d7d7d" stroked="false">
                  <v:path arrowok="t"/>
                  <v:fill type="solid"/>
                </v:shape>
                <v:shape style="position:absolute;left:4335;top:3765;width:405;height:405" type="#_x0000_t75" id="docshape7" stroked="false">
                  <v:imagedata r:id="rId6" o:title=""/>
                </v:shape>
                <v:rect style="position:absolute;left:3735;top:3390;width:15;height:10950" id="docshape8" filled="true" fillcolor="#000000" stroked="false">
                  <v:fill type="solid"/>
                </v:rect>
                <v:shape style="position:absolute;left:0;top:3690;width:3525;height:660" id="docshape9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7d7d7d" stroked="false">
                  <v:path arrowok="t"/>
                  <v:fill type="solid"/>
                </v:shape>
                <v:shape style="position:absolute;left:450;top:3795;width:435;height:450" type="#_x0000_t75" id="docshape10" stroked="false">
                  <v:imagedata r:id="rId7" o:title=""/>
                </v:shape>
                <v:shape style="position:absolute;left:0;top:6570;width:3525;height:675" id="docshape11" coordorigin="0,6570" coordsize="3525,675" path="m3525,6645l881,6645,874,6639,865,6632,809,6600,746,6579,681,6570,654,6570,589,6579,526,6600,470,6632,454,6645,0,6645,0,7140,421,7140,436,7155,488,7195,547,7224,610,7241,654,7245,681,7245,746,7236,809,7215,865,7183,914,7140,3525,7140,3525,6645xe" filled="true" fillcolor="#7d7d7d" stroked="false">
                  <v:path arrowok="t"/>
                  <v:fill type="solid"/>
                </v:shape>
                <v:shape style="position:absolute;left:450;top:6705;width:435;height:420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On-camera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self-</w:t>
      </w:r>
      <w:r>
        <w:rPr>
          <w:spacing w:val="-4"/>
          <w:w w:val="105"/>
          <w:sz w:val="18"/>
        </w:rPr>
        <w:t>tape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8" w:after="0"/>
        <w:ind w:left="873" w:right="82" w:hanging="298"/>
        <w:jc w:val="left"/>
        <w:rPr>
          <w:sz w:val="18"/>
        </w:rPr>
      </w:pPr>
      <w:r>
        <w:rPr>
          <w:w w:val="105"/>
          <w:sz w:val="18"/>
        </w:rPr>
        <w:t>Union: stage and screen performers' unions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64" w:after="0"/>
        <w:ind w:left="873" w:right="58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Booked contracts at four large resident regional theaters in the Northeast including a national tour of a Pulitzer-winning drama.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265" w:hanging="298"/>
        <w:jc w:val="left"/>
        <w:rPr>
          <w:sz w:val="18"/>
        </w:rPr>
      </w:pPr>
      <w:r>
        <w:rPr>
          <w:w w:val="105"/>
          <w:sz w:val="18"/>
        </w:rPr>
        <w:t>Recurring supporting role on a network procedural (two episodes across two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seasons).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439" w:hanging="298"/>
        <w:jc w:val="left"/>
        <w:rPr>
          <w:sz w:val="18"/>
        </w:rPr>
      </w:pPr>
      <w:r>
        <w:rPr>
          <w:w w:val="105"/>
          <w:sz w:val="18"/>
        </w:rPr>
        <w:t>Voiced lead character in a scripted fiction podcast that reached the iTunes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drama top 25.</w:t>
      </w:r>
    </w:p>
    <w:sectPr>
      <w:type w:val="continuous"/>
      <w:pgSz w:w="11920" w:h="16860"/>
      <w:pgMar w:top="420" w:bottom="280" w:left="0" w:right="141"/>
      <w:cols w:num="2" w:equalWidth="0">
        <w:col w:w="3083" w:space="916"/>
        <w:col w:w="77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4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73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chakrabort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2026-09-22T08:42:34Z</dcterms:created>
  <dcterms:modified xsi:type="dcterms:W3CDTF">2026-09-22T08:42:34Z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