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448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Paul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Allen</w:t>
      </w:r>
    </w:p>
    <w:p>
      <w:pPr>
        <w:pStyle w:val="Heading2"/>
      </w:pPr>
      <w:r>
        <w:rPr>
          <w:color w:val="FFFFFF"/>
          <w:spacing w:val="-2"/>
        </w:rPr>
        <w:t>Chemist</w:t>
      </w:r>
    </w:p>
    <w:p>
      <w:pPr>
        <w:spacing w:line="273" w:lineRule="auto" w:before="193"/>
        <w:ind w:left="448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Six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across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formulation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analytical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roles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personal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care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over-the-counter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drug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products.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Owns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method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development, validation,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stability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protocols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end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end,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enjoys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handoff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between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research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quality</w:t>
      </w:r>
      <w:r>
        <w:rPr>
          <w:color w:val="FFFFFF"/>
          <w:spacing w:val="27"/>
          <w:w w:val="105"/>
          <w:sz w:val="16"/>
        </w:rPr>
        <w:t> </w:t>
      </w:r>
      <w:r>
        <w:rPr>
          <w:color w:val="FFFFFF"/>
          <w:w w:val="105"/>
          <w:sz w:val="16"/>
        </w:rPr>
        <w:t>control.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425" w:right="283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3"/>
        <w:rPr>
          <w:sz w:val="20"/>
        </w:rPr>
      </w:pPr>
    </w:p>
    <w:p>
      <w:pPr>
        <w:pStyle w:val="Heading1"/>
      </w:pPr>
      <w:r>
        <w:rPr>
          <w:smallCaps/>
          <w:color w:val="F5F5F5"/>
          <w:w w:val="95"/>
        </w:rPr>
        <w:t>Contact</w:t>
      </w:r>
      <w:r>
        <w:rPr>
          <w:smallCaps/>
          <w:color w:val="F5F5F5"/>
          <w:spacing w:val="-3"/>
        </w:rPr>
        <w:t> </w:t>
      </w:r>
      <w:r>
        <w:rPr>
          <w:smallCaps/>
          <w:color w:val="F5F5F5"/>
          <w:spacing w:val="-2"/>
          <w:w w:val="90"/>
        </w:rPr>
        <w:t>Information</w:t>
      </w:r>
    </w:p>
    <w:p>
      <w:pPr>
        <w:spacing w:before="53"/>
        <w:ind w:left="58" w:right="0" w:firstLine="0"/>
        <w:jc w:val="left"/>
        <w:rPr>
          <w:b/>
          <w:sz w:val="28"/>
        </w:rPr>
      </w:pPr>
      <w:r>
        <w:rPr/>
        <w:br w:type="column"/>
      </w:r>
      <w:r>
        <w:rPr>
          <w:b/>
          <w:smallCaps/>
          <w:color w:val="090909"/>
          <w:spacing w:val="4"/>
          <w:w w:val="90"/>
          <w:sz w:val="28"/>
        </w:rPr>
        <w:t>Professional</w:t>
      </w:r>
      <w:r>
        <w:rPr>
          <w:b/>
          <w:smallCaps/>
          <w:color w:val="090909"/>
          <w:spacing w:val="55"/>
          <w:sz w:val="28"/>
        </w:rPr>
        <w:t> </w:t>
      </w:r>
      <w:r>
        <w:rPr>
          <w:b/>
          <w:smallCaps/>
          <w:color w:val="090909"/>
          <w:spacing w:val="-2"/>
          <w:w w:val="95"/>
          <w:sz w:val="28"/>
        </w:rPr>
        <w:t>Experience</w:t>
      </w:r>
    </w:p>
    <w:p>
      <w:pPr>
        <w:pStyle w:val="BodyText"/>
        <w:spacing w:before="40"/>
        <w:rPr>
          <w:b/>
          <w:sz w:val="20"/>
        </w:rPr>
      </w:pPr>
    </w:p>
    <w:p>
      <w:pPr>
        <w:pStyle w:val="BodyText"/>
        <w:spacing w:line="268" w:lineRule="auto"/>
        <w:ind w:left="170" w:right="637"/>
      </w:pPr>
      <w:r>
        <w:rPr>
          <w:w w:val="105"/>
        </w:rPr>
        <w:t>Senior Chemist, Formulation </w:t>
      </w:r>
      <w:r>
        <w:rPr>
          <w:w w:val="105"/>
          <w:position w:val="2"/>
        </w:rPr>
        <w:t>| </w:t>
      </w:r>
      <w:r>
        <w:rPr>
          <w:w w:val="105"/>
        </w:rPr>
        <w:t>Wasatch Personal Care, Salt Lake City, UT 2022 – Present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820" w:bottom="280" w:left="425" w:right="283"/>
          <w:cols w:num="2" w:equalWidth="0">
            <w:col w:w="2678" w:space="1153"/>
            <w:col w:w="7381"/>
          </w:cols>
        </w:sectPr>
      </w:pPr>
    </w:p>
    <w:p>
      <w:pPr>
        <w:pStyle w:val="BodyText"/>
        <w:spacing w:before="68"/>
        <w:ind w:left="597"/>
      </w:pPr>
      <w:r>
        <w:rPr>
          <w:color w:val="424242"/>
        </w:rPr>
        <w:t>(801)</w:t>
      </w:r>
      <w:r>
        <w:rPr>
          <w:color w:val="424242"/>
          <w:spacing w:val="16"/>
        </w:rPr>
        <w:t> </w:t>
      </w:r>
      <w:r>
        <w:rPr>
          <w:color w:val="424242"/>
        </w:rPr>
        <w:t>555-</w:t>
      </w:r>
      <w:r>
        <w:rPr>
          <w:color w:val="424242"/>
          <w:spacing w:val="-4"/>
        </w:rPr>
        <w:t>0163</w:t>
      </w:r>
    </w:p>
    <w:p>
      <w:pPr>
        <w:pStyle w:val="BodyText"/>
        <w:spacing w:before="96"/>
      </w:pPr>
    </w:p>
    <w:p>
      <w:pPr>
        <w:pStyle w:val="BodyText"/>
        <w:spacing w:line="609" w:lineRule="auto"/>
        <w:ind w:left="597"/>
      </w:pPr>
      <w:hyperlink r:id="rId5">
        <w:r>
          <w:rPr>
            <w:color w:val="424242"/>
            <w:spacing w:val="-2"/>
          </w:rPr>
          <w:t>soﬁa.alarcon@example.com</w:t>
        </w:r>
      </w:hyperlink>
      <w:r>
        <w:rPr>
          <w:color w:val="424242"/>
          <w:spacing w:val="-2"/>
        </w:rPr>
        <w:t> </w:t>
      </w:r>
      <w:r>
        <w:rPr>
          <w:color w:val="424242"/>
          <w:w w:val="105"/>
        </w:rPr>
        <w:t>Salt Lake City, UT 12345</w:t>
      </w:r>
    </w:p>
    <w:p>
      <w:pPr>
        <w:pStyle w:val="Heading1"/>
        <w:spacing w:before="130"/>
      </w:pPr>
      <w:r>
        <w:rPr>
          <w:smallCaps/>
          <w:color w:val="F5F5F5"/>
          <w:spacing w:val="-2"/>
        </w:rPr>
        <w:t>Education</w:t>
      </w:r>
    </w:p>
    <w:p>
      <w:pPr>
        <w:pStyle w:val="BodyText"/>
        <w:spacing w:before="123"/>
        <w:rPr>
          <w:b/>
          <w:sz w:val="20"/>
        </w:rPr>
      </w:pPr>
    </w:p>
    <w:p>
      <w:pPr>
        <w:spacing w:line="273" w:lineRule="auto" w:before="0"/>
        <w:ind w:left="170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B.S., Chemistry, University of Utah, </w:t>
      </w:r>
      <w:r>
        <w:rPr>
          <w:color w:val="424242"/>
          <w:spacing w:val="-4"/>
          <w:w w:val="105"/>
          <w:sz w:val="16"/>
        </w:rPr>
        <w:t>2018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95" w:after="0"/>
        <w:ind w:left="355" w:right="217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Reformulated a legacy sunscreen product to remove a discontinued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ultraviolet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filter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matched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original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sun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protection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performance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two</w:t>
      </w:r>
    </w:p>
    <w:p>
      <w:pPr>
        <w:pStyle w:val="BodyText"/>
        <w:spacing w:before="25"/>
        <w:ind w:left="355"/>
      </w:pPr>
      <w:r>
        <w:rPr>
          <w:w w:val="105"/>
        </w:rPr>
        <w:t>prototype</w:t>
      </w:r>
      <w:r>
        <w:rPr>
          <w:spacing w:val="32"/>
          <w:w w:val="105"/>
        </w:rPr>
        <w:t> </w:t>
      </w:r>
      <w:r>
        <w:rPr>
          <w:spacing w:val="-2"/>
          <w:w w:val="105"/>
        </w:rPr>
        <w:t>rounds.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9" w:after="0"/>
        <w:ind w:left="355" w:right="376" w:hanging="298"/>
        <w:jc w:val="left"/>
        <w:rPr>
          <w:sz w:val="18"/>
        </w:rPr>
      </w:pPr>
      <w:r>
        <w:rPr>
          <w:w w:val="105"/>
          <w:sz w:val="18"/>
        </w:rPr>
        <w:t>Led stability studies (25/60 and 40/75) on six new SKUs and authored the reports that supported retail launch at two national chains.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82" w:after="0"/>
        <w:ind w:left="355" w:right="684" w:hanging="298"/>
        <w:jc w:val="left"/>
        <w:rPr>
          <w:sz w:val="18"/>
        </w:rPr>
      </w:pPr>
      <w:r>
        <w:rPr>
          <w:w w:val="105"/>
          <w:sz w:val="18"/>
        </w:rPr>
        <w:t>Cut lab-scale batch prep time roughly 35% by standardizing preblend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procedures and rebuilding the raw material staging area.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189" w:lineRule="auto" w:before="109" w:after="0"/>
        <w:ind w:left="355" w:right="563" w:hanging="298"/>
        <w:jc w:val="left"/>
        <w:rPr>
          <w:sz w:val="18"/>
        </w:rPr>
      </w:pPr>
      <w:r>
        <w:rPr>
          <w:w w:val="105"/>
          <w:sz w:val="18"/>
        </w:rPr>
        <w:t>Partner with marketing and regulatory on claims support and ingredient listing for new launches.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20" w:bottom="280" w:left="425" w:right="283"/>
          <w:cols w:num="2" w:equalWidth="0">
            <w:col w:w="2946" w:space="1164"/>
            <w:col w:w="7102"/>
          </w:cols>
        </w:sectPr>
      </w:pPr>
    </w:p>
    <w:p>
      <w:pPr>
        <w:pStyle w:val="BodyText"/>
        <w:spacing w:line="205" w:lineRule="exact"/>
        <w:ind w:left="4001"/>
      </w:pPr>
      <w:r>
        <w:rPr/>
        <w:t>Chemist</w:t>
      </w:r>
      <w:r>
        <w:rPr>
          <w:spacing w:val="40"/>
        </w:rPr>
        <w:t> </w:t>
      </w:r>
      <w:r>
        <w:rPr/>
        <w:t>II,</w:t>
      </w:r>
      <w:r>
        <w:rPr>
          <w:spacing w:val="24"/>
        </w:rPr>
        <w:t> </w:t>
      </w:r>
      <w:r>
        <w:rPr/>
        <w:t>Analytical</w:t>
      </w:r>
      <w:r>
        <w:rPr>
          <w:spacing w:val="41"/>
        </w:rPr>
        <w:t> </w:t>
      </w:r>
      <w:r>
        <w:rPr>
          <w:position w:val="2"/>
        </w:rPr>
        <w:t>|</w:t>
      </w:r>
      <w:r>
        <w:rPr>
          <w:spacing w:val="40"/>
          <w:position w:val="2"/>
        </w:rPr>
        <w:t> </w:t>
      </w:r>
      <w:r>
        <w:rPr/>
        <w:t>Sagebrush</w:t>
      </w:r>
      <w:r>
        <w:rPr>
          <w:spacing w:val="39"/>
        </w:rPr>
        <w:t> </w:t>
      </w:r>
      <w:r>
        <w:rPr/>
        <w:t>Consumer</w:t>
      </w:r>
      <w:r>
        <w:rPr>
          <w:spacing w:val="41"/>
        </w:rPr>
        <w:t> </w:t>
      </w:r>
      <w:r>
        <w:rPr/>
        <w:t>Labs,</w:t>
      </w:r>
      <w:r>
        <w:rPr>
          <w:spacing w:val="41"/>
        </w:rPr>
        <w:t> </w:t>
      </w:r>
      <w:r>
        <w:rPr/>
        <w:t>Ogden,</w:t>
      </w:r>
      <w:r>
        <w:rPr>
          <w:spacing w:val="40"/>
        </w:rPr>
        <w:t> </w:t>
      </w:r>
      <w:r>
        <w:rPr>
          <w:spacing w:val="-5"/>
        </w:rPr>
        <w:t>UT</w:t>
      </w:r>
    </w:p>
    <w:p>
      <w:pPr>
        <w:pStyle w:val="BodyText"/>
        <w:spacing w:before="24"/>
        <w:ind w:left="4001"/>
      </w:pPr>
      <w:r>
        <w:rPr>
          <w:w w:val="105"/>
        </w:rPr>
        <w:t>2019</w:t>
      </w:r>
      <w:r>
        <w:rPr>
          <w:spacing w:val="5"/>
          <w:w w:val="105"/>
        </w:rPr>
        <w:t> </w:t>
      </w:r>
      <w:r>
        <w:rPr>
          <w:w w:val="105"/>
        </w:rPr>
        <w:t>–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425" w:right="283"/>
        </w:sectPr>
      </w:pPr>
    </w:p>
    <w:p>
      <w:pPr>
        <w:pStyle w:val="Heading1"/>
        <w:spacing w:line="292" w:lineRule="exact"/>
      </w:pPr>
      <w:r>
        <w:rPr>
          <w:smallCaps/>
          <w:color w:val="F5F5F5"/>
        </w:rPr>
        <w:t>Key</w:t>
      </w:r>
      <w:r>
        <w:rPr>
          <w:smallCaps/>
          <w:color w:val="F5F5F5"/>
          <w:spacing w:val="-12"/>
        </w:rPr>
        <w:t> </w:t>
      </w:r>
      <w:r>
        <w:rPr>
          <w:smallCaps/>
          <w:color w:val="F5F5F5"/>
          <w:spacing w:val="-6"/>
        </w:rPr>
        <w:t>Skills</w:t>
      </w:r>
    </w:p>
    <w:p>
      <w:pPr>
        <w:pStyle w:val="ListParagraph"/>
        <w:numPr>
          <w:ilvl w:val="0"/>
          <w:numId w:val="1"/>
        </w:numPr>
        <w:tabs>
          <w:tab w:pos="353" w:val="left" w:leader="none"/>
          <w:tab w:pos="355" w:val="left" w:leader="none"/>
        </w:tabs>
        <w:spacing w:line="201" w:lineRule="auto" w:before="118" w:after="0"/>
        <w:ind w:left="355" w:right="276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Developed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validated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assay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content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uniformity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methods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over-the-counter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creams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gels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standard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validation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guidelines.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820" w:bottom="280" w:left="425" w:right="283"/>
          <w:cols w:num="2" w:equalWidth="0">
            <w:col w:w="1407" w:space="2704"/>
            <w:col w:w="7101"/>
          </w:cols>
        </w:sectPr>
      </w:pP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50" w:after="0"/>
        <w:ind w:left="467" w:right="577" w:hanging="298"/>
        <w:jc w:val="left"/>
        <w:rPr>
          <w:color w:val="424242"/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61924" y="9172574"/>
                            <a:ext cx="2266950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1533525">
                                <a:moveTo>
                                  <a:pt x="0" y="1533524"/>
                                </a:moveTo>
                                <a:lnTo>
                                  <a:pt x="2266949" y="1533524"/>
                                </a:lnTo>
                                <a:lnTo>
                                  <a:pt x="22669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3C4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86000">
                                <a:moveTo>
                                  <a:pt x="7568183" y="2285999"/>
                                </a:moveTo>
                                <a:lnTo>
                                  <a:pt x="0" y="2285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85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1912" y="2285999"/>
                            <a:ext cx="2266950" cy="688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6950" h="6886575">
                                <a:moveTo>
                                  <a:pt x="2266950" y="3248025"/>
                                </a:moveTo>
                                <a:lnTo>
                                  <a:pt x="0" y="3248025"/>
                                </a:lnTo>
                                <a:lnTo>
                                  <a:pt x="0" y="6886575"/>
                                </a:lnTo>
                                <a:lnTo>
                                  <a:pt x="2266950" y="6886575"/>
                                </a:lnTo>
                                <a:lnTo>
                                  <a:pt x="2266950" y="3248025"/>
                                </a:lnTo>
                                <a:close/>
                              </a:path>
                              <a:path w="2266950" h="6886575">
                                <a:moveTo>
                                  <a:pt x="2266950" y="2295525"/>
                                </a:moveTo>
                                <a:lnTo>
                                  <a:pt x="0" y="2295525"/>
                                </a:lnTo>
                                <a:lnTo>
                                  <a:pt x="0" y="2876550"/>
                                </a:lnTo>
                                <a:lnTo>
                                  <a:pt x="2266950" y="2876550"/>
                                </a:lnTo>
                                <a:lnTo>
                                  <a:pt x="2266950" y="2295525"/>
                                </a:lnTo>
                                <a:close/>
                              </a:path>
                              <a:path w="2266950" h="6886575">
                                <a:moveTo>
                                  <a:pt x="2266950" y="771525"/>
                                </a:moveTo>
                                <a:lnTo>
                                  <a:pt x="0" y="771525"/>
                                </a:lnTo>
                                <a:lnTo>
                                  <a:pt x="0" y="1924050"/>
                                </a:lnTo>
                                <a:lnTo>
                                  <a:pt x="2266950" y="1924050"/>
                                </a:lnTo>
                                <a:lnTo>
                                  <a:pt x="2266950" y="771525"/>
                                </a:lnTo>
                                <a:close/>
                              </a:path>
                              <a:path w="2266950" h="6886575">
                                <a:moveTo>
                                  <a:pt x="22669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00050"/>
                                </a:lnTo>
                                <a:lnTo>
                                  <a:pt x="2266950" y="400050"/>
                                </a:lnTo>
                                <a:lnTo>
                                  <a:pt x="22669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3C4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68604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3C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3054095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3190874"/>
                            <a:ext cx="161924" cy="1619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3505199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13" y="3848099"/>
                            <a:ext cx="161911" cy="166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421004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3C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4578095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5162549"/>
                            <a:ext cx="25527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2700" h="371475">
                                <a:moveTo>
                                  <a:pt x="25526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2552699" y="0"/>
                                </a:lnTo>
                                <a:lnTo>
                                  <a:pt x="25526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23C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9255" y="5529071"/>
                            <a:ext cx="124967" cy="2560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2400" id="docshapegroup1" coordorigin="0,0" coordsize="11919,16860">
                <v:rect style="position:absolute;left:255;top:14445;width:3570;height:2415" id="docshape2" filled="true" fillcolor="#823c40" stroked="false">
                  <v:fill opacity="32899f" type="solid"/>
                </v:rect>
                <v:rect style="position:absolute;left:0;top:0;width:11919;height:3600" id="docshape3" filled="true" fillcolor="#424242" stroked="false">
                  <v:fill type="solid"/>
                </v:rect>
                <v:shape style="position:absolute;left:254;top:3600;width:3570;height:10845" id="docshape4" coordorigin="255,3600" coordsize="3570,10845" path="m3825,8715l255,8715,255,14445,3825,14445,3825,8715xm3825,7215l255,7215,255,8130,3825,8130,3825,7215xm3825,4815l255,4815,255,6630,3825,6630,3825,4815xm3825,3600l255,3600,255,4230,3825,4230,3825,3600xe" filled="true" fillcolor="#823c40" stroked="false">
                  <v:path arrowok="t"/>
                  <v:fill opacity="32899f" type="solid"/>
                </v:shape>
                <v:rect style="position:absolute;left:0;top:4230;width:4020;height:585" id="docshape5" filled="true" fillcolor="#823c40" stroked="false">
                  <v:fill type="solid"/>
                </v:rect>
                <v:shape style="position:absolute;left:3825;top:4809;width:197;height:404" type="#_x0000_t75" id="docshape6" stroked="false">
                  <v:imagedata r:id="rId6" o:title=""/>
                </v:shape>
                <v:shape style="position:absolute;left:600;top:5025;width:255;height:255" type="#_x0000_t75" id="docshape7" stroked="false">
                  <v:imagedata r:id="rId7" o:title=""/>
                </v:shape>
                <v:shape style="position:absolute;left:600;top:5520;width:255;height:300" type="#_x0000_t75" id="docshape8" stroked="false">
                  <v:imagedata r:id="rId8" o:title=""/>
                </v:shape>
                <v:shape style="position:absolute;left:600;top:6060;width:255;height:263" type="#_x0000_t75" id="docshape9" stroked="false">
                  <v:imagedata r:id="rId9" o:title=""/>
                </v:shape>
                <v:rect style="position:absolute;left:0;top:6630;width:4020;height:585" id="docshape10" filled="true" fillcolor="#823c40" stroked="false">
                  <v:fill type="solid"/>
                </v:rect>
                <v:shape style="position:absolute;left:3825;top:7209;width:197;height:404" type="#_x0000_t75" id="docshape11" stroked="false">
                  <v:imagedata r:id="rId6" o:title=""/>
                </v:shape>
                <v:rect style="position:absolute;left:0;top:8130;width:4020;height:585" id="docshape12" filled="true" fillcolor="#823c40" stroked="false">
                  <v:fill type="solid"/>
                </v:rect>
                <v:shape style="position:absolute;left:3825;top:8707;width:197;height:404" type="#_x0000_t75" id="docshape13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color w:val="424242"/>
          <w:w w:val="105"/>
          <w:sz w:val="16"/>
        </w:rPr>
        <w:t>Liquid chromatography with ultraviolet and diode array</w:t>
      </w:r>
    </w:p>
    <w:p>
      <w:pPr>
        <w:spacing w:line="273" w:lineRule="auto" w:before="35"/>
        <w:ind w:left="467" w:right="147" w:firstLine="0"/>
        <w:jc w:val="left"/>
        <w:rPr>
          <w:sz w:val="16"/>
        </w:rPr>
      </w:pPr>
      <w:r>
        <w:rPr>
          <w:color w:val="424242"/>
          <w:w w:val="105"/>
          <w:sz w:val="16"/>
        </w:rPr>
        <w:t>detection, gas chromatography with mass spectrometry, </w:t>
      </w:r>
      <w:r>
        <w:rPr>
          <w:color w:val="424242"/>
          <w:spacing w:val="-2"/>
          <w:w w:val="105"/>
          <w:sz w:val="16"/>
        </w:rPr>
        <w:t>dissolution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65" w:after="0"/>
        <w:ind w:left="467" w:right="162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Rheology, viscosity, particle size, </w:t>
      </w:r>
      <w:r>
        <w:rPr>
          <w:color w:val="424242"/>
          <w:spacing w:val="-6"/>
          <w:w w:val="105"/>
          <w:sz w:val="16"/>
        </w:rPr>
        <w:t>pH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100" w:after="0"/>
        <w:ind w:left="467" w:right="290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Formulation of emulsions, gels, and creams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38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Method validation, stability testing, and impurity qualification</w:t>
      </w:r>
    </w:p>
    <w:p>
      <w:pPr>
        <w:spacing w:before="35"/>
        <w:ind w:left="467" w:right="0" w:firstLine="0"/>
        <w:jc w:val="left"/>
        <w:rPr>
          <w:sz w:val="16"/>
        </w:rPr>
      </w:pPr>
      <w:r>
        <w:rPr>
          <w:color w:val="424242"/>
          <w:spacing w:val="-2"/>
          <w:w w:val="105"/>
          <w:sz w:val="16"/>
        </w:rPr>
        <w:t>guidelines</w:t>
      </w:r>
    </w:p>
    <w:p>
      <w:pPr>
        <w:pStyle w:val="ListParagraph"/>
        <w:numPr>
          <w:ilvl w:val="1"/>
          <w:numId w:val="1"/>
        </w:numPr>
        <w:tabs>
          <w:tab w:pos="466" w:val="left" w:leader="none"/>
        </w:tabs>
        <w:spacing w:line="331" w:lineRule="exact" w:before="35" w:after="0"/>
        <w:ind w:left="466" w:right="0" w:hanging="296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Method</w:t>
      </w:r>
      <w:r>
        <w:rPr>
          <w:color w:val="424242"/>
          <w:spacing w:val="17"/>
          <w:w w:val="105"/>
          <w:sz w:val="16"/>
        </w:rPr>
        <w:t> </w:t>
      </w:r>
      <w:r>
        <w:rPr>
          <w:color w:val="424242"/>
          <w:w w:val="105"/>
          <w:sz w:val="16"/>
        </w:rPr>
        <w:t>transfer</w:t>
      </w:r>
      <w:r>
        <w:rPr>
          <w:color w:val="424242"/>
          <w:spacing w:val="18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17"/>
          <w:w w:val="105"/>
          <w:sz w:val="16"/>
        </w:rPr>
        <w:t> </w:t>
      </w:r>
      <w:r>
        <w:rPr>
          <w:color w:val="424242"/>
          <w:w w:val="105"/>
          <w:sz w:val="16"/>
        </w:rPr>
        <w:t>co-</w:t>
      </w:r>
      <w:r>
        <w:rPr>
          <w:color w:val="424242"/>
          <w:spacing w:val="-2"/>
          <w:w w:val="105"/>
          <w:sz w:val="16"/>
        </w:rPr>
        <w:t>validation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9" w:lineRule="auto" w:before="25" w:after="0"/>
        <w:ind w:left="467" w:right="594" w:hanging="298"/>
        <w:jc w:val="left"/>
        <w:rPr>
          <w:color w:val="424242"/>
          <w:position w:val="-4"/>
          <w:sz w:val="31"/>
        </w:rPr>
      </w:pPr>
      <w:r>
        <w:rPr>
          <w:color w:val="424242"/>
          <w:w w:val="105"/>
          <w:sz w:val="16"/>
        </w:rPr>
        <w:t>Stability protocol authoring, corrective action planning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98" w:after="0"/>
        <w:ind w:left="467" w:right="539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Current good manufacturing practices for drug products</w:t>
      </w:r>
    </w:p>
    <w:p>
      <w:pPr>
        <w:pStyle w:val="ListParagraph"/>
        <w:numPr>
          <w:ilvl w:val="1"/>
          <w:numId w:val="1"/>
        </w:numPr>
        <w:tabs>
          <w:tab w:pos="465" w:val="left" w:leader="none"/>
          <w:tab w:pos="467" w:val="left" w:leader="none"/>
        </w:tabs>
        <w:spacing w:line="182" w:lineRule="auto" w:before="99" w:after="0"/>
        <w:ind w:left="467" w:right="306" w:hanging="298"/>
        <w:jc w:val="left"/>
        <w:rPr>
          <w:color w:val="424242"/>
          <w:position w:val="-5"/>
          <w:sz w:val="31"/>
        </w:rPr>
      </w:pPr>
      <w:r>
        <w:rPr>
          <w:color w:val="424242"/>
          <w:w w:val="105"/>
          <w:sz w:val="16"/>
        </w:rPr>
        <w:t>Lab information systems, chromatography</w:t>
      </w:r>
      <w:r>
        <w:rPr>
          <w:color w:val="424242"/>
          <w:spacing w:val="22"/>
          <w:w w:val="105"/>
          <w:sz w:val="16"/>
        </w:rPr>
        <w:t> </w:t>
      </w:r>
      <w:r>
        <w:rPr>
          <w:color w:val="424242"/>
          <w:w w:val="105"/>
          <w:sz w:val="16"/>
        </w:rPr>
        <w:t>data</w:t>
      </w:r>
      <w:r>
        <w:rPr>
          <w:color w:val="424242"/>
          <w:spacing w:val="22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software,</w:t>
      </w:r>
    </w:p>
    <w:p>
      <w:pPr>
        <w:spacing w:before="34"/>
        <w:ind w:left="467" w:right="0" w:firstLine="0"/>
        <w:jc w:val="left"/>
        <w:rPr>
          <w:sz w:val="16"/>
        </w:rPr>
      </w:pPr>
      <w:r>
        <w:rPr>
          <w:color w:val="424242"/>
          <w:w w:val="105"/>
          <w:sz w:val="16"/>
        </w:rPr>
        <w:t>statistical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w w:val="105"/>
          <w:sz w:val="16"/>
        </w:rPr>
        <w:t>analysis</w:t>
      </w:r>
      <w:r>
        <w:rPr>
          <w:color w:val="424242"/>
          <w:spacing w:val="25"/>
          <w:w w:val="105"/>
          <w:sz w:val="16"/>
        </w:rPr>
        <w:t> </w:t>
      </w:r>
      <w:r>
        <w:rPr>
          <w:color w:val="424242"/>
          <w:spacing w:val="-2"/>
          <w:w w:val="105"/>
          <w:sz w:val="16"/>
        </w:rPr>
        <w:t>software</w:t>
      </w:r>
    </w:p>
    <w:p>
      <w:pPr>
        <w:pStyle w:val="ListParagraph"/>
        <w:numPr>
          <w:ilvl w:val="2"/>
          <w:numId w:val="1"/>
        </w:numPr>
        <w:tabs>
          <w:tab w:pos="632" w:val="left" w:leader="none"/>
          <w:tab w:pos="634" w:val="left" w:leader="none"/>
        </w:tabs>
        <w:spacing w:line="204" w:lineRule="auto" w:before="79" w:after="0"/>
        <w:ind w:left="634" w:right="383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Ran the analytical side of two generic drug submissions, including forced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degradation and impurity profiling.</w:t>
      </w:r>
    </w:p>
    <w:p>
      <w:pPr>
        <w:pStyle w:val="ListParagraph"/>
        <w:numPr>
          <w:ilvl w:val="2"/>
          <w:numId w:val="1"/>
        </w:numPr>
        <w:tabs>
          <w:tab w:pos="632" w:val="left" w:leader="none"/>
          <w:tab w:pos="634" w:val="left" w:leader="none"/>
        </w:tabs>
        <w:spacing w:line="189" w:lineRule="auto" w:before="108" w:after="0"/>
        <w:ind w:left="634" w:right="33" w:hanging="298"/>
        <w:jc w:val="left"/>
        <w:rPr>
          <w:position w:val="-4"/>
          <w:sz w:val="31"/>
        </w:rPr>
      </w:pPr>
      <w:r>
        <w:rPr>
          <w:w w:val="105"/>
          <w:sz w:val="18"/>
        </w:rPr>
        <w:t>Investigated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stability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failure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hydrocortisone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cream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turned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out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w w:val="105"/>
          <w:sz w:val="18"/>
        </w:rPr>
        <w:t> be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container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closure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interaction;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finding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drove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packaging</w:t>
      </w:r>
      <w:r>
        <w:rPr>
          <w:spacing w:val="24"/>
          <w:w w:val="105"/>
          <w:sz w:val="18"/>
        </w:rPr>
        <w:t> </w:t>
      </w:r>
      <w:r>
        <w:rPr>
          <w:w w:val="105"/>
          <w:sz w:val="18"/>
        </w:rPr>
        <w:t>change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41"/>
        <w:ind w:left="634"/>
      </w:pPr>
      <w:r>
        <w:rPr>
          <w:w w:val="105"/>
        </w:rPr>
        <w:t>closed</w:t>
      </w:r>
      <w:r>
        <w:rPr>
          <w:spacing w:val="18"/>
          <w:w w:val="105"/>
        </w:rPr>
        <w:t> </w:t>
      </w:r>
      <w:r>
        <w:rPr>
          <w:w w:val="105"/>
        </w:rPr>
        <w:t>the</w:t>
      </w:r>
      <w:r>
        <w:rPr>
          <w:spacing w:val="18"/>
          <w:w w:val="105"/>
        </w:rPr>
        <w:t> </w:t>
      </w:r>
      <w:r>
        <w:rPr>
          <w:w w:val="105"/>
        </w:rPr>
        <w:t>corrective</w:t>
      </w:r>
      <w:r>
        <w:rPr>
          <w:spacing w:val="18"/>
          <w:w w:val="105"/>
        </w:rPr>
        <w:t> </w:t>
      </w:r>
      <w:r>
        <w:rPr>
          <w:w w:val="105"/>
        </w:rPr>
        <w:t>action</w:t>
      </w:r>
      <w:r>
        <w:rPr>
          <w:spacing w:val="18"/>
          <w:w w:val="105"/>
        </w:rPr>
        <w:t> </w:t>
      </w:r>
      <w:r>
        <w:rPr>
          <w:w w:val="105"/>
        </w:rPr>
        <w:t>in</w:t>
      </w:r>
      <w:r>
        <w:rPr>
          <w:spacing w:val="18"/>
          <w:w w:val="105"/>
        </w:rPr>
        <w:t> </w:t>
      </w:r>
      <w:r>
        <w:rPr>
          <w:w w:val="105"/>
        </w:rPr>
        <w:t>about</w:t>
      </w:r>
      <w:r>
        <w:rPr>
          <w:spacing w:val="18"/>
          <w:w w:val="105"/>
        </w:rPr>
        <w:t> </w:t>
      </w:r>
      <w:r>
        <w:rPr>
          <w:w w:val="105"/>
        </w:rPr>
        <w:t>11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weeks.</w:t>
      </w:r>
    </w:p>
    <w:p>
      <w:pPr>
        <w:pStyle w:val="ListParagraph"/>
        <w:numPr>
          <w:ilvl w:val="2"/>
          <w:numId w:val="1"/>
        </w:numPr>
        <w:tabs>
          <w:tab w:pos="633" w:val="left" w:leader="none"/>
        </w:tabs>
        <w:spacing w:line="240" w:lineRule="auto" w:before="51" w:after="0"/>
        <w:ind w:left="63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Mentored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chemists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their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first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method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validation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exercises.</w:t>
      </w:r>
    </w:p>
    <w:p>
      <w:pPr>
        <w:pStyle w:val="BodyText"/>
        <w:spacing w:before="52"/>
      </w:pPr>
    </w:p>
    <w:p>
      <w:pPr>
        <w:pStyle w:val="BodyText"/>
        <w:spacing w:line="268" w:lineRule="auto"/>
        <w:ind w:left="170" w:right="2527"/>
      </w:pPr>
      <w:r>
        <w:rPr>
          <w:w w:val="105"/>
        </w:rPr>
        <w:t>Chemist I </w:t>
      </w:r>
      <w:r>
        <w:rPr>
          <w:w w:val="105"/>
          <w:position w:val="2"/>
        </w:rPr>
        <w:t>| </w:t>
      </w:r>
      <w:r>
        <w:rPr>
          <w:w w:val="105"/>
        </w:rPr>
        <w:t>Sagebrush Consumer Labs, Ogden, UT 2018 – 2019</w:t>
      </w:r>
    </w:p>
    <w:p>
      <w:pPr>
        <w:pStyle w:val="ListParagraph"/>
        <w:numPr>
          <w:ilvl w:val="2"/>
          <w:numId w:val="1"/>
        </w:numPr>
        <w:tabs>
          <w:tab w:pos="632" w:val="left" w:leader="none"/>
          <w:tab w:pos="634" w:val="left" w:leader="none"/>
        </w:tabs>
        <w:spacing w:line="189" w:lineRule="auto" w:before="121" w:after="0"/>
        <w:ind w:left="634" w:right="310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release testing on topical products using liquid chromatography 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ultraviolet detection and viscosity, averaging over 200 samples per month.</w:t>
      </w:r>
    </w:p>
    <w:p>
      <w:pPr>
        <w:pStyle w:val="ListParagraph"/>
        <w:numPr>
          <w:ilvl w:val="2"/>
          <w:numId w:val="1"/>
        </w:numPr>
        <w:tabs>
          <w:tab w:pos="632" w:val="left" w:leader="none"/>
          <w:tab w:pos="634" w:val="left" w:leader="none"/>
        </w:tabs>
        <w:spacing w:line="201" w:lineRule="auto" w:before="98" w:after="0"/>
        <w:ind w:left="634" w:right="516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the first draft of 6 standard operating procedures during the site's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move to a new lab information system.</w:t>
      </w:r>
    </w:p>
    <w:p>
      <w:pPr>
        <w:pStyle w:val="ListParagraph"/>
        <w:numPr>
          <w:ilvl w:val="2"/>
          <w:numId w:val="1"/>
        </w:numPr>
        <w:tabs>
          <w:tab w:pos="632" w:val="left" w:leader="none"/>
          <w:tab w:pos="634" w:val="left" w:leader="none"/>
        </w:tabs>
        <w:spacing w:line="201" w:lineRule="auto" w:before="82" w:after="0"/>
        <w:ind w:left="634" w:right="182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Recognized with the site's Quality Star award for zero data integrity findings across two internal audits.</w:t>
      </w:r>
    </w:p>
    <w:sectPr>
      <w:type w:val="continuous"/>
      <w:pgSz w:w="11920" w:h="16860"/>
      <w:pgMar w:top="820" w:bottom="280" w:left="425" w:right="283"/>
      <w:cols w:num="2" w:equalWidth="0">
        <w:col w:w="3177" w:space="654"/>
        <w:col w:w="73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5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4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14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34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54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8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4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2"/>
      <w:ind w:left="46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o&#64257;a.alarco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2026-09-26T00:04:17Z</dcterms:created>
  <dcterms:modified xsi:type="dcterms:W3CDTF">2026-09-26T00:04:17Z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