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523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Brenda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10"/>
          <w:sz w:val="74"/>
        </w:rPr>
        <w:t>Mitchell</w:t>
      </w:r>
    </w:p>
    <w:p>
      <w:pPr>
        <w:pStyle w:val="Heading1"/>
      </w:pPr>
      <w:r>
        <w:rPr>
          <w:color w:val="FFFFFF"/>
          <w:spacing w:val="-2"/>
        </w:rPr>
        <w:t>Controller</w:t>
      </w:r>
    </w:p>
    <w:p>
      <w:pPr>
        <w:spacing w:line="273" w:lineRule="auto" w:before="178"/>
        <w:ind w:left="523" w:right="459" w:firstLine="0"/>
        <w:jc w:val="left"/>
        <w:rPr>
          <w:sz w:val="16"/>
        </w:rPr>
      </w:pPr>
      <w:r>
        <w:rPr>
          <w:color w:val="FFFFFF"/>
          <w:w w:val="105"/>
          <w:sz w:val="16"/>
        </w:rPr>
        <w:t>Controller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12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accounting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mid-market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subscription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software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light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manufacturing.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Own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monthly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close, external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audit,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financial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reporting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$180M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revenue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company.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Rebuilt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close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cycle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that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used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slip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past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business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day</w:t>
      </w:r>
      <w:r>
        <w:rPr>
          <w:color w:val="FFFFFF"/>
          <w:spacing w:val="16"/>
          <w:w w:val="105"/>
          <w:sz w:val="16"/>
        </w:rPr>
        <w:t> </w:t>
      </w:r>
      <w:r>
        <w:rPr>
          <w:color w:val="FFFFFF"/>
          <w:w w:val="105"/>
          <w:sz w:val="16"/>
        </w:rPr>
        <w:t>15.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08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280" w:left="425" w:right="283"/>
        </w:sectPr>
      </w:pPr>
    </w:p>
    <w:p>
      <w:pPr>
        <w:pStyle w:val="Heading2"/>
        <w:spacing w:before="115"/>
      </w:pPr>
      <w:r>
        <w:rPr>
          <w:color w:val="FFFFFF"/>
        </w:rPr>
        <w:t>CONTACT</w:t>
      </w:r>
      <w:r>
        <w:rPr>
          <w:color w:val="FFFFFF"/>
          <w:spacing w:val="31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113"/>
        <w:ind w:left="0"/>
        <w:rPr>
          <w:b/>
          <w:sz w:val="20"/>
        </w:rPr>
      </w:pPr>
    </w:p>
    <w:p>
      <w:pPr>
        <w:pStyle w:val="BodyText"/>
        <w:spacing w:before="1"/>
        <w:ind w:left="876"/>
      </w:pPr>
      <w:r>
        <w:rPr>
          <w:color w:val="FFFFFF"/>
          <w:w w:val="105"/>
        </w:rPr>
        <w:t>(919)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0142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664EA6"/>
          <w:spacing w:val="2"/>
        </w:rPr>
        <w:t>PROFESSIONAL</w:t>
      </w:r>
      <w:r>
        <w:rPr>
          <w:color w:val="664EA6"/>
          <w:spacing w:val="46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6"/>
        <w:ind w:left="0"/>
        <w:rPr>
          <w:b/>
          <w:sz w:val="20"/>
        </w:rPr>
      </w:pPr>
    </w:p>
    <w:p>
      <w:pPr>
        <w:pStyle w:val="BodyText"/>
        <w:ind w:left="114"/>
      </w:pPr>
      <w:r>
        <w:rPr/>
        <w:t>CONTROLLER</w:t>
      </w:r>
      <w:r>
        <w:rPr>
          <w:spacing w:val="52"/>
        </w:rPr>
        <w:t> </w:t>
      </w:r>
      <w:r>
        <w:rPr>
          <w:position w:val="2"/>
        </w:rPr>
        <w:t>|</w:t>
      </w:r>
      <w:r>
        <w:rPr>
          <w:spacing w:val="53"/>
          <w:position w:val="2"/>
        </w:rPr>
        <w:t> </w:t>
      </w:r>
      <w:r>
        <w:rPr/>
        <w:t>KETTLEWOOD</w:t>
      </w:r>
      <w:r>
        <w:rPr>
          <w:spacing w:val="51"/>
        </w:rPr>
        <w:t> </w:t>
      </w:r>
      <w:r>
        <w:rPr/>
        <w:t>SOFTWARE,</w:t>
      </w:r>
      <w:r>
        <w:rPr>
          <w:spacing w:val="53"/>
        </w:rPr>
        <w:t> </w:t>
      </w:r>
      <w:r>
        <w:rPr/>
        <w:t>RALEIGH,</w:t>
      </w:r>
      <w:r>
        <w:rPr>
          <w:spacing w:val="53"/>
        </w:rPr>
        <w:t> </w:t>
      </w:r>
      <w:r>
        <w:rPr>
          <w:spacing w:val="-5"/>
        </w:rPr>
        <w:t>NC</w:t>
      </w:r>
    </w:p>
    <w:p>
      <w:pPr>
        <w:pStyle w:val="BodyText"/>
        <w:spacing w:before="16"/>
        <w:ind w:left="114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640" w:bottom="280" w:left="425" w:right="283"/>
          <w:cols w:num="2" w:equalWidth="0">
            <w:col w:w="2696" w:space="1061"/>
            <w:col w:w="7455"/>
          </w:cols>
        </w:sectPr>
      </w:pPr>
    </w:p>
    <w:p>
      <w:pPr>
        <w:pStyle w:val="BodyText"/>
        <w:spacing w:line="261" w:lineRule="auto" w:before="183"/>
        <w:ind w:left="876"/>
      </w:pPr>
      <w:r>
        <w:rPr>
          <w:color w:val="FFFFFF"/>
          <w:spacing w:val="-2"/>
        </w:rPr>
        <w:t>marisol.vega@exampl </w:t>
      </w:r>
      <w:r>
        <w:rPr>
          <w:color w:val="FFFFFF"/>
          <w:spacing w:val="-2"/>
          <w:w w:val="105"/>
        </w:rPr>
        <w:t>e.com</w:t>
      </w:r>
    </w:p>
    <w:p>
      <w:pPr>
        <w:pStyle w:val="BodyText"/>
        <w:spacing w:before="61"/>
        <w:ind w:left="0"/>
      </w:pPr>
    </w:p>
    <w:p>
      <w:pPr>
        <w:pStyle w:val="BodyText"/>
        <w:spacing w:before="1"/>
        <w:ind w:left="876"/>
      </w:pPr>
      <w:r>
        <w:rPr>
          <w:color w:val="FFFFFF"/>
          <w:w w:val="105"/>
        </w:rPr>
        <w:t>Raleigh,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NC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  <w:ind w:left="0"/>
      </w:pPr>
    </w:p>
    <w:p>
      <w:pPr>
        <w:pStyle w:val="BodyText"/>
        <w:spacing w:before="5"/>
        <w:ind w:left="0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89" w:lineRule="auto" w:before="191" w:after="0"/>
        <w:ind w:left="411" w:right="86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Run monthly close for a $180M recurring-revenue software business, cutting close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business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moving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reconciliations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Blackline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7"/>
        <w:ind w:left="411"/>
      </w:pPr>
      <w:r>
        <w:rPr>
          <w:w w:val="105"/>
        </w:rPr>
        <w:t>retiring</w:t>
      </w:r>
      <w:r>
        <w:rPr>
          <w:spacing w:val="19"/>
          <w:w w:val="105"/>
        </w:rPr>
        <w:t> </w:t>
      </w:r>
      <w:r>
        <w:rPr>
          <w:w w:val="105"/>
        </w:rPr>
        <w:t>three</w:t>
      </w:r>
      <w:r>
        <w:rPr>
          <w:spacing w:val="20"/>
          <w:w w:val="105"/>
        </w:rPr>
        <w:t> </w:t>
      </w:r>
      <w:r>
        <w:rPr>
          <w:w w:val="105"/>
        </w:rPr>
        <w:t>redundant</w:t>
      </w:r>
      <w:r>
        <w:rPr>
          <w:spacing w:val="20"/>
          <w:w w:val="105"/>
        </w:rPr>
        <w:t> </w:t>
      </w:r>
      <w:r>
        <w:rPr>
          <w:w w:val="105"/>
        </w:rPr>
        <w:t>journal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entries.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201" w:lineRule="auto" w:before="74" w:after="0"/>
        <w:ind w:left="411" w:right="241" w:hanging="298"/>
        <w:jc w:val="left"/>
        <w:rPr>
          <w:sz w:val="18"/>
        </w:rPr>
      </w:pPr>
      <w:r>
        <w:rPr>
          <w:w w:val="105"/>
          <w:sz w:val="18"/>
        </w:rPr>
        <w:t>Own the annual audit with Grant Thornton; delivered two clean opinions in a row with zero adjusting entries.</w:t>
      </w:r>
    </w:p>
    <w:p>
      <w:pPr>
        <w:pStyle w:val="ListParagraph"/>
        <w:numPr>
          <w:ilvl w:val="0"/>
          <w:numId w:val="1"/>
        </w:numPr>
        <w:tabs>
          <w:tab w:pos="409" w:val="left" w:leader="none"/>
          <w:tab w:pos="411" w:val="left" w:leader="none"/>
        </w:tabs>
        <w:spacing w:line="189" w:lineRule="auto" w:before="94" w:after="0"/>
        <w:ind w:left="411" w:right="179" w:hanging="298"/>
        <w:jc w:val="left"/>
        <w:rPr>
          <w:sz w:val="18"/>
        </w:rPr>
      </w:pPr>
      <w:r>
        <w:rPr>
          <w:w w:val="105"/>
          <w:sz w:val="18"/>
        </w:rPr>
        <w:t>Rebuilt revenue recognition after a shift to multi-year term contracts, working with sales ops on a contract-modification workflow.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640" w:bottom="280" w:left="425" w:right="283"/>
          <w:cols w:num="2" w:equalWidth="0">
            <w:col w:w="2826" w:space="1173"/>
            <w:col w:w="7213"/>
          </w:cols>
        </w:sectPr>
      </w:pP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110" w:after="0"/>
        <w:ind w:left="727" w:right="193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Revenue recognition, lease accounting,</w:t>
      </w:r>
    </w:p>
    <w:p>
      <w:pPr>
        <w:pStyle w:val="BodyText"/>
        <w:spacing w:line="261" w:lineRule="auto" w:before="26"/>
      </w:pPr>
      <w:r>
        <w:rPr>
          <w:color w:val="FFFFFF"/>
          <w:w w:val="105"/>
        </w:rPr>
        <w:t>technical accounting </w:t>
      </w:r>
      <w:r>
        <w:rPr>
          <w:color w:val="FFFFFF"/>
          <w:spacing w:val="-2"/>
          <w:w w:val="105"/>
        </w:rPr>
        <w:t>memos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82" w:after="0"/>
        <w:ind w:left="727" w:right="463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Monthly close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and </w:t>
      </w:r>
      <w:r>
        <w:rPr>
          <w:color w:val="FFFFFF"/>
          <w:spacing w:val="-2"/>
          <w:w w:val="105"/>
          <w:sz w:val="18"/>
        </w:rPr>
        <w:t>consolidations</w:t>
      </w: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327" w:lineRule="exact" w:before="45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NetSuite,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Sage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Intacct,</w:t>
      </w:r>
    </w:p>
    <w:p>
      <w:pPr>
        <w:pStyle w:val="BodyText"/>
        <w:spacing w:line="48" w:lineRule="exact"/>
      </w:pPr>
      <w:r>
        <w:rPr>
          <w:color w:val="FFFFFF"/>
          <w:w w:val="105"/>
        </w:rPr>
        <w:t>Great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Plains</w:t>
      </w:r>
    </w:p>
    <w:p>
      <w:pPr>
        <w:pStyle w:val="ListParagraph"/>
        <w:numPr>
          <w:ilvl w:val="2"/>
          <w:numId w:val="1"/>
        </w:numPr>
        <w:tabs>
          <w:tab w:pos="967" w:val="left" w:leader="none"/>
          <w:tab w:pos="969" w:val="left" w:leader="none"/>
        </w:tabs>
        <w:spacing w:line="189" w:lineRule="auto" w:before="95" w:after="0"/>
        <w:ind w:left="969" w:right="192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Manage a team of 7 (2 senior accountants, 3 staff, a receivables lead, and a payables lead) and hired 4 of them.</w:t>
      </w:r>
    </w:p>
    <w:p>
      <w:pPr>
        <w:pStyle w:val="ListParagraph"/>
        <w:numPr>
          <w:ilvl w:val="2"/>
          <w:numId w:val="1"/>
        </w:numPr>
        <w:tabs>
          <w:tab w:pos="967" w:val="left" w:leader="none"/>
          <w:tab w:pos="969" w:val="left" w:leader="none"/>
        </w:tabs>
        <w:spacing w:line="189" w:lineRule="auto" w:before="110" w:after="0"/>
        <w:ind w:left="969" w:right="304" w:hanging="298"/>
        <w:jc w:val="left"/>
        <w:rPr>
          <w:sz w:val="18"/>
        </w:rPr>
      </w:pPr>
      <w:r>
        <w:rPr>
          <w:w w:val="105"/>
          <w:sz w:val="18"/>
        </w:rPr>
        <w:t>Partner with the planning team on the annual plan and quarterly reforecast,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present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actuals-vs-plan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bridge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audit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committee.</w:t>
      </w:r>
    </w:p>
    <w:p>
      <w:pPr>
        <w:pStyle w:val="BodyText"/>
        <w:spacing w:before="101"/>
        <w:ind w:left="0"/>
      </w:pPr>
    </w:p>
    <w:p>
      <w:pPr>
        <w:pStyle w:val="BodyText"/>
        <w:ind w:left="430"/>
      </w:pPr>
      <w:r>
        <w:rPr/>
        <w:t>ASSISTANT</w:t>
      </w:r>
      <w:r>
        <w:rPr>
          <w:spacing w:val="45"/>
        </w:rPr>
        <w:t> </w:t>
      </w:r>
      <w:r>
        <w:rPr/>
        <w:t>CONTROLLER</w:t>
      </w:r>
      <w:r>
        <w:rPr>
          <w:spacing w:val="53"/>
        </w:rPr>
        <w:t> </w:t>
      </w:r>
      <w:r>
        <w:rPr>
          <w:position w:val="2"/>
        </w:rPr>
        <w:t>|</w:t>
      </w:r>
      <w:r>
        <w:rPr>
          <w:spacing w:val="53"/>
          <w:position w:val="2"/>
        </w:rPr>
        <w:t> </w:t>
      </w:r>
      <w:r>
        <w:rPr/>
        <w:t>HALBERD</w:t>
      </w:r>
      <w:r>
        <w:rPr>
          <w:spacing w:val="51"/>
        </w:rPr>
        <w:t> </w:t>
      </w:r>
      <w:r>
        <w:rPr/>
        <w:t>INSTRUMENTS,</w:t>
      </w:r>
      <w:r>
        <w:rPr>
          <w:spacing w:val="52"/>
        </w:rPr>
        <w:t> </w:t>
      </w:r>
      <w:r>
        <w:rPr/>
        <w:t>DURHAM,</w:t>
      </w:r>
      <w:r>
        <w:rPr>
          <w:spacing w:val="53"/>
        </w:rPr>
        <w:t> </w:t>
      </w:r>
      <w:r>
        <w:rPr>
          <w:spacing w:val="-5"/>
        </w:rPr>
        <w:t>NC</w:t>
      </w:r>
    </w:p>
    <w:p>
      <w:pPr>
        <w:pStyle w:val="BodyText"/>
        <w:spacing w:before="16"/>
        <w:ind w:left="430"/>
      </w:pPr>
      <w:r>
        <w:rPr/>
        <w:t>2016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640" w:bottom="280" w:left="425" w:right="283"/>
          <w:cols w:num="2" w:equalWidth="0">
            <w:col w:w="2751" w:space="690"/>
            <w:col w:w="7771"/>
          </w:cols>
        </w:sectPr>
      </w:pP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336" w:lineRule="exact" w:before="180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Blackline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reconciliations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30" w:after="0"/>
        <w:ind w:left="727" w:right="915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External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w w:val="105"/>
          <w:sz w:val="18"/>
        </w:rPr>
        <w:t>audit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201" w:lineRule="auto" w:before="83" w:after="0"/>
        <w:ind w:left="727" w:right="304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Technical</w:t>
      </w:r>
      <w:r>
        <w:rPr>
          <w:color w:val="FFFFFF"/>
          <w:spacing w:val="-14"/>
          <w:w w:val="105"/>
          <w:sz w:val="18"/>
        </w:rPr>
        <w:t> </w:t>
      </w:r>
      <w:r>
        <w:rPr>
          <w:color w:val="FFFFFF"/>
          <w:w w:val="105"/>
          <w:sz w:val="18"/>
        </w:rPr>
        <w:t>accounting </w:t>
      </w:r>
      <w:r>
        <w:rPr>
          <w:color w:val="FFFFFF"/>
          <w:spacing w:val="-2"/>
          <w:w w:val="105"/>
          <w:sz w:val="18"/>
        </w:rPr>
        <w:t>memos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94" w:after="0"/>
        <w:ind w:left="727" w:right="32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Revenue recognition (SaaS, term, usage)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204" w:lineRule="auto" w:before="34" w:after="0"/>
        <w:ind w:left="727" w:right="652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Managed close, consolidations, and technical accounting for a 3-entity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manufacturer with roughly $95M in revenue.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93" w:after="0"/>
        <w:ind w:left="727" w:right="436" w:hanging="298"/>
        <w:jc w:val="left"/>
        <w:rPr>
          <w:position w:val="-4"/>
          <w:sz w:val="31"/>
        </w:rPr>
      </w:pPr>
      <w:r>
        <w:rPr>
          <w:w w:val="105"/>
          <w:sz w:val="18"/>
        </w:rPr>
        <w:t>Implemented NetSuite (replacing Great Plains) as accounting workstream lead, cutting month-end journal entry volume by about a third.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201" w:lineRule="auto" w:before="83" w:after="0"/>
        <w:ind w:left="727" w:right="135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the company's first formal capitalization policy for internally developed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software and applied it retroactively across two fiscal years.</w:t>
      </w: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240" w:lineRule="auto" w:before="43" w:after="0"/>
        <w:ind w:left="72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Trained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accountants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who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were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later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promoted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roles.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640" w:bottom="280" w:left="425" w:right="283"/>
          <w:cols w:num="2" w:equalWidth="0">
            <w:col w:w="2831" w:space="852"/>
            <w:col w:w="7529"/>
          </w:cols>
        </w:sectPr>
      </w:pP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95" w:after="0"/>
        <w:ind w:left="727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Team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leadership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(7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w w:val="105"/>
          <w:sz w:val="18"/>
        </w:rPr>
        <w:t>direct </w:t>
      </w:r>
      <w:r>
        <w:rPr>
          <w:color w:val="FFFFFF"/>
          <w:spacing w:val="-2"/>
          <w:w w:val="105"/>
          <w:sz w:val="18"/>
        </w:rPr>
        <w:t>reports)</w:t>
      </w:r>
    </w:p>
    <w:p>
      <w:pPr>
        <w:pStyle w:val="BodyText"/>
        <w:spacing w:before="143"/>
        <w:ind w:left="430"/>
      </w:pPr>
      <w:r>
        <w:rPr/>
        <w:br w:type="column"/>
      </w:r>
      <w:r>
        <w:rPr/>
        <w:t>SENIOR</w:t>
      </w:r>
      <w:r>
        <w:rPr>
          <w:spacing w:val="19"/>
        </w:rPr>
        <w:t> </w:t>
      </w:r>
      <w:r>
        <w:rPr/>
        <w:t>AUDITOR</w:t>
      </w:r>
      <w:r>
        <w:rPr>
          <w:spacing w:val="36"/>
        </w:rPr>
        <w:t> </w:t>
      </w:r>
      <w:r>
        <w:rPr>
          <w:position w:val="2"/>
        </w:rPr>
        <w:t>|</w:t>
      </w:r>
      <w:r>
        <w:rPr>
          <w:spacing w:val="36"/>
          <w:position w:val="2"/>
        </w:rPr>
        <w:t> </w:t>
      </w:r>
      <w:r>
        <w:rPr/>
        <w:t>BAKER</w:t>
      </w:r>
      <w:r>
        <w:rPr>
          <w:spacing w:val="30"/>
        </w:rPr>
        <w:t> </w:t>
      </w:r>
      <w:r>
        <w:rPr/>
        <w:t>TILLY,</w:t>
      </w:r>
      <w:r>
        <w:rPr>
          <w:spacing w:val="36"/>
        </w:rPr>
        <w:t> </w:t>
      </w:r>
      <w:r>
        <w:rPr/>
        <w:t>CHARLOTTE,</w:t>
      </w:r>
      <w:r>
        <w:rPr>
          <w:spacing w:val="35"/>
        </w:rPr>
        <w:t> </w:t>
      </w:r>
      <w:r>
        <w:rPr>
          <w:spacing w:val="-5"/>
        </w:rPr>
        <w:t>NC</w:t>
      </w:r>
    </w:p>
    <w:p>
      <w:pPr>
        <w:pStyle w:val="BodyText"/>
        <w:spacing w:before="16"/>
        <w:ind w:left="430"/>
      </w:pPr>
      <w:r>
        <w:rPr/>
        <w:t>2013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2016</w:t>
      </w:r>
    </w:p>
    <w:p>
      <w:pPr>
        <w:pStyle w:val="BodyText"/>
        <w:spacing w:after="0"/>
        <w:sectPr>
          <w:type w:val="continuous"/>
          <w:pgSz w:w="11920" w:h="16860"/>
          <w:pgMar w:top="640" w:bottom="280" w:left="425" w:right="283"/>
          <w:cols w:num="2" w:equalWidth="0">
            <w:col w:w="2944" w:space="496"/>
            <w:col w:w="7772"/>
          </w:cols>
        </w:sectPr>
      </w:pP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57" w:after="0"/>
        <w:ind w:left="727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Excel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(Power</w:t>
      </w:r>
      <w:r>
        <w:rPr>
          <w:color w:val="FFFFFF"/>
          <w:spacing w:val="-6"/>
          <w:w w:val="105"/>
          <w:sz w:val="18"/>
        </w:rPr>
        <w:t> </w:t>
      </w:r>
      <w:r>
        <w:rPr>
          <w:color w:val="FFFFFF"/>
          <w:w w:val="105"/>
          <w:sz w:val="18"/>
        </w:rPr>
        <w:t>Query, complex modeling)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94" w:after="0"/>
        <w:ind w:left="727" w:right="214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SOC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1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SOC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2 </w:t>
      </w:r>
      <w:r>
        <w:rPr>
          <w:color w:val="FFFFFF"/>
          <w:spacing w:val="-2"/>
          <w:w w:val="105"/>
          <w:sz w:val="18"/>
        </w:rPr>
        <w:t>coordination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201" w:lineRule="auto" w:before="165" w:after="0"/>
        <w:ind w:left="727" w:right="22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Led audit fieldwork for private-company clients in software, distribution,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light manufacturing (revenue $40M to $220M).</w:t>
      </w:r>
    </w:p>
    <w:p>
      <w:pPr>
        <w:pStyle w:val="ListParagraph"/>
        <w:numPr>
          <w:ilvl w:val="1"/>
          <w:numId w:val="1"/>
        </w:numPr>
        <w:tabs>
          <w:tab w:pos="725" w:val="left" w:leader="none"/>
          <w:tab w:pos="727" w:val="left" w:leader="none"/>
        </w:tabs>
        <w:spacing w:line="189" w:lineRule="auto" w:before="93" w:after="0"/>
        <w:ind w:left="727" w:right="477" w:hanging="298"/>
        <w:jc w:val="left"/>
        <w:rPr>
          <w:position w:val="-4"/>
          <w:sz w:val="31"/>
        </w:rPr>
      </w:pPr>
      <w:r>
        <w:rPr>
          <w:w w:val="105"/>
          <w:sz w:val="18"/>
        </w:rPr>
        <w:t>Drafted financial statements and footnotes; reviewed staff workpapers on revenue, inventory, and stock-based compensation.</w:t>
      </w:r>
    </w:p>
    <w:p>
      <w:pPr>
        <w:pStyle w:val="ListParagraph"/>
        <w:numPr>
          <w:ilvl w:val="1"/>
          <w:numId w:val="1"/>
        </w:numPr>
        <w:tabs>
          <w:tab w:pos="726" w:val="left" w:leader="none"/>
        </w:tabs>
        <w:spacing w:line="240" w:lineRule="auto" w:before="45" w:after="0"/>
        <w:ind w:left="72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Promoted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Associate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years.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640" w:bottom="280" w:left="425" w:right="283"/>
          <w:cols w:num="2" w:equalWidth="0">
            <w:col w:w="2526" w:space="1157"/>
            <w:col w:w="7529"/>
          </w:cols>
        </w:sectPr>
      </w:pPr>
    </w:p>
    <w:p>
      <w:pPr>
        <w:pStyle w:val="BodyText"/>
        <w:spacing w:before="81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24" y="9505949"/>
                            <a:ext cx="2400300" cy="120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1200150">
                                <a:moveTo>
                                  <a:pt x="0" y="1200149"/>
                                </a:moveTo>
                                <a:lnTo>
                                  <a:pt x="2400299" y="1200149"/>
                                </a:lnTo>
                                <a:lnTo>
                                  <a:pt x="24002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0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01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019300">
                                <a:moveTo>
                                  <a:pt x="7568183" y="2019299"/>
                                </a:moveTo>
                                <a:lnTo>
                                  <a:pt x="0" y="20192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019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2019299"/>
                            <a:ext cx="2400300" cy="7486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7486650">
                                <a:moveTo>
                                  <a:pt x="2400299" y="7486649"/>
                                </a:moveTo>
                                <a:lnTo>
                                  <a:pt x="0" y="748664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7486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24" y="2600324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25" y="2962274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25" y="3362324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600312" y="2162187"/>
                            <a:ext cx="4968240" cy="623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8240" h="6238875">
                                <a:moveTo>
                                  <a:pt x="4967859" y="5981687"/>
                                </a:moveTo>
                                <a:lnTo>
                                  <a:pt x="0" y="5981687"/>
                                </a:lnTo>
                                <a:lnTo>
                                  <a:pt x="0" y="6238862"/>
                                </a:lnTo>
                                <a:lnTo>
                                  <a:pt x="4967859" y="6238862"/>
                                </a:lnTo>
                                <a:lnTo>
                                  <a:pt x="4967859" y="5981687"/>
                                </a:lnTo>
                                <a:close/>
                              </a:path>
                              <a:path w="4968240" h="6238875">
                                <a:moveTo>
                                  <a:pt x="49678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4967859" y="257175"/>
                                </a:lnTo>
                                <a:lnTo>
                                  <a:pt x="4967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2400" id="docshapegroup1" coordorigin="0,0" coordsize="11919,16860">
                <v:rect style="position:absolute;left:315;top:14970;width:3780;height:1890" id="docshape2" filled="true" fillcolor="#664ea6" stroked="false">
                  <v:fill type="solid"/>
                </v:rect>
                <v:rect style="position:absolute;left:0;top:0;width:11919;height:3180" id="docshape3" filled="true" fillcolor="#424242" stroked="false">
                  <v:fill type="solid"/>
                </v:rect>
                <v:rect style="position:absolute;left:315;top:3180;width:3780;height:11790" id="docshape4" filled="true" fillcolor="#664ea6" stroked="false">
                  <v:fill type="solid"/>
                </v:rect>
                <v:shape style="position:absolute;left:855;top:4095;width:255;height:255" type="#_x0000_t75" id="docshape5" stroked="false">
                  <v:imagedata r:id="rId5" o:title=""/>
                </v:shape>
                <v:shape style="position:absolute;left:855;top:4665;width:255;height:300" type="#_x0000_t75" id="docshape6" stroked="false">
                  <v:imagedata r:id="rId6" o:title=""/>
                </v:shape>
                <v:shape style="position:absolute;left:855;top:5295;width:255;height:255" type="#_x0000_t75" id="docshape7" stroked="false">
                  <v:imagedata r:id="rId7" o:title=""/>
                </v:shape>
                <v:shape style="position:absolute;left:4094;top:3405;width:7824;height:9825" id="docshape8" coordorigin="4095,3405" coordsize="7824,9825" path="m11918,12825l4095,12825,4095,13230,11918,13230,11918,12825xm11918,3405l4095,3405,4095,3810,11918,3810,11918,3405xe" filled="true" fillcolor="#664ea6" stroked="false">
                  <v:path arrowok="t"/>
                  <v:fill opacity="32899f"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0" w:right="2233"/>
        <w:jc w:val="center"/>
      </w:pPr>
      <w:r>
        <w:rPr>
          <w:color w:val="664EA6"/>
          <w:spacing w:val="-2"/>
        </w:rPr>
        <w:t>EDUCATION</w:t>
      </w:r>
    </w:p>
    <w:p>
      <w:pPr>
        <w:pStyle w:val="ListParagraph"/>
        <w:numPr>
          <w:ilvl w:val="2"/>
          <w:numId w:val="1"/>
        </w:numPr>
        <w:tabs>
          <w:tab w:pos="4167" w:val="left" w:leader="none"/>
        </w:tabs>
        <w:spacing w:line="240" w:lineRule="auto" w:before="167" w:after="0"/>
        <w:ind w:left="4167" w:right="0" w:hanging="296"/>
        <w:jc w:val="left"/>
        <w:rPr>
          <w:sz w:val="18"/>
        </w:rPr>
      </w:pPr>
      <w:r>
        <w:rPr>
          <w:w w:val="105"/>
          <w:sz w:val="18"/>
        </w:rPr>
        <w:t>B.S.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Accounting,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University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North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Carolina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Chapel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Hill,</w:t>
      </w:r>
      <w:r>
        <w:rPr>
          <w:spacing w:val="14"/>
          <w:w w:val="105"/>
          <w:sz w:val="18"/>
        </w:rPr>
        <w:t> </w:t>
      </w:r>
      <w:r>
        <w:rPr>
          <w:spacing w:val="-4"/>
          <w:w w:val="105"/>
          <w:sz w:val="18"/>
        </w:rPr>
        <w:t>2013</w:t>
      </w:r>
    </w:p>
    <w:p>
      <w:pPr>
        <w:pStyle w:val="ListParagraph"/>
        <w:numPr>
          <w:ilvl w:val="2"/>
          <w:numId w:val="1"/>
        </w:numPr>
        <w:tabs>
          <w:tab w:pos="4167" w:val="left" w:leader="none"/>
        </w:tabs>
        <w:spacing w:line="240" w:lineRule="auto" w:before="154" w:after="0"/>
        <w:ind w:left="4167" w:right="0" w:hanging="296"/>
        <w:jc w:val="left"/>
        <w:rPr>
          <w:sz w:val="18"/>
        </w:rPr>
      </w:pPr>
      <w:r>
        <w:rPr>
          <w:w w:val="105"/>
          <w:sz w:val="18"/>
        </w:rPr>
        <w:t>CPA,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North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Carolina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(active,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good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standing)</w:t>
      </w:r>
    </w:p>
    <w:sectPr>
      <w:type w:val="continuous"/>
      <w:pgSz w:w="11920" w:h="16860"/>
      <w:pgMar w:top="64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1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6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6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8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1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4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6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2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52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4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4"/>
      <w:ind w:left="72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2026-09-26T01:29:29Z</dcterms:created>
  <dcterms:modified xsi:type="dcterms:W3CDTF">2026-09-26T01:29:29Z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