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42" w:lineRule="exact" w:before="0"/>
        <w:ind w:left="3786" w:right="0" w:firstLine="0"/>
        <w:jc w:val="center"/>
        <w:rPr>
          <w:sz w:val="77"/>
        </w:rPr>
      </w:pPr>
      <w:r>
        <w:rPr>
          <w:color w:val="134E5C"/>
          <w:spacing w:val="-2"/>
          <w:sz w:val="77"/>
        </w:rPr>
        <w:t>PRIYA</w:t>
      </w:r>
    </w:p>
    <w:p>
      <w:pPr>
        <w:spacing w:before="17"/>
        <w:ind w:left="3731" w:right="-58" w:firstLine="0"/>
        <w:jc w:val="center"/>
        <w:rPr>
          <w:sz w:val="77"/>
        </w:rPr>
      </w:pPr>
      <w:r>
        <w:rPr>
          <w:color w:val="646464"/>
          <w:spacing w:val="-2"/>
          <w:sz w:val="77"/>
        </w:rPr>
        <w:t>CHANDRASEKARAN</w:t>
      </w:r>
    </w:p>
    <w:p>
      <w:pPr>
        <w:spacing w:before="144"/>
        <w:ind w:left="3786" w:right="0" w:firstLine="0"/>
        <w:jc w:val="center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2283587</wp:posOffset>
                </wp:positionH>
                <wp:positionV relativeFrom="paragraph">
                  <wp:posOffset>337293</wp:posOffset>
                </wp:positionV>
                <wp:extent cx="5285105" cy="9175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285105" cy="9175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85" w:lineRule="auto" w:before="155"/>
                              <w:ind w:left="682" w:right="-29" w:hanging="1"/>
                              <w:jc w:val="center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FFFFFF"/>
                                <w:sz w:val="19"/>
                              </w:rPr>
                              <w:t>Speech-language pathologist certiﬁed by</w:t>
                            </w:r>
                            <w:r>
                              <w:rPr>
                                <w:color w:val="FFFFFF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ASHA</w:t>
                            </w:r>
                            <w:r>
                              <w:rPr>
                                <w:color w:val="FFFFFF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with 6 years across pediatric outpatient, school, and acute inpatient settings. Bilingual English/Tamil clinician known for communication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device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evaluations,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swallowing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management,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coaching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parents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through home practice plans.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9.810059pt;margin-top:26.558514pt;width:416.15pt;height:72.2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line="285" w:lineRule="auto" w:before="155"/>
                        <w:ind w:left="682" w:right="-29" w:hanging="1"/>
                        <w:jc w:val="center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FFFFFF"/>
                          <w:sz w:val="19"/>
                        </w:rPr>
                        <w:t>Speech-language pathologist certiﬁed by</w:t>
                      </w:r>
                      <w:r>
                        <w:rPr>
                          <w:color w:val="FFFFFF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ASHA</w:t>
                      </w:r>
                      <w:r>
                        <w:rPr>
                          <w:color w:val="FFFFFF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with 6 years across pediatric outpatient, school, and acute inpatient settings. Bilingual English/Tamil clinician known for communication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device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evaluations,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swallowing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management,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and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coaching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parents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FFFFFF"/>
                          <w:sz w:val="19"/>
                        </w:rPr>
                        <w:t>through home practice plans.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34E5C"/>
          <w:spacing w:val="-2"/>
          <w:sz w:val="19"/>
        </w:rPr>
        <w:t>M.S.,</w:t>
      </w:r>
      <w:r>
        <w:rPr>
          <w:color w:val="134E5C"/>
          <w:spacing w:val="-1"/>
          <w:sz w:val="19"/>
        </w:rPr>
        <w:t> </w:t>
      </w:r>
      <w:r>
        <w:rPr>
          <w:color w:val="134E5C"/>
          <w:spacing w:val="-2"/>
          <w:sz w:val="19"/>
        </w:rPr>
        <w:t>CCC-</w:t>
      </w:r>
      <w:r>
        <w:rPr>
          <w:color w:val="134E5C"/>
          <w:spacing w:val="-5"/>
          <w:sz w:val="19"/>
        </w:rPr>
        <w:t>SLP</w:t>
      </w:r>
    </w:p>
    <w:p>
      <w:pPr>
        <w:pStyle w:val="BodyText"/>
        <w:ind w:firstLine="0"/>
        <w:rPr>
          <w:sz w:val="20"/>
        </w:rPr>
      </w:pPr>
    </w:p>
    <w:p>
      <w:pPr>
        <w:pStyle w:val="BodyText"/>
        <w:ind w:firstLine="0"/>
        <w:rPr>
          <w:sz w:val="20"/>
        </w:rPr>
      </w:pPr>
    </w:p>
    <w:p>
      <w:pPr>
        <w:pStyle w:val="BodyText"/>
        <w:ind w:firstLine="0"/>
        <w:rPr>
          <w:sz w:val="20"/>
        </w:rPr>
      </w:pPr>
    </w:p>
    <w:p>
      <w:pPr>
        <w:pStyle w:val="BodyText"/>
        <w:ind w:firstLine="0"/>
        <w:rPr>
          <w:sz w:val="20"/>
        </w:rPr>
      </w:pPr>
    </w:p>
    <w:p>
      <w:pPr>
        <w:pStyle w:val="BodyText"/>
        <w:spacing w:before="148"/>
        <w:ind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20" w:bottom="280" w:left="708" w:right="0"/>
        </w:sectPr>
      </w:pPr>
    </w:p>
    <w:p>
      <w:pPr>
        <w:pStyle w:val="Heading1"/>
        <w:spacing w:line="264" w:lineRule="auto" w:before="67"/>
        <w:ind w:right="16"/>
      </w:pPr>
      <w:r>
        <w:rPr>
          <w:color w:val="134E5C"/>
          <w:spacing w:val="-2"/>
        </w:rPr>
        <w:t>CONTACT INFORMATION</w:t>
      </w:r>
    </w:p>
    <w:p>
      <w:pPr>
        <w:spacing w:before="179"/>
        <w:ind w:left="683" w:right="0" w:firstLine="0"/>
        <w:jc w:val="left"/>
        <w:rPr>
          <w:sz w:val="19"/>
        </w:rPr>
      </w:pPr>
      <w:r>
        <w:rPr>
          <w:color w:val="134E5C"/>
          <w:spacing w:val="-2"/>
          <w:sz w:val="19"/>
        </w:rPr>
        <w:t>(919)</w:t>
      </w:r>
      <w:r>
        <w:rPr>
          <w:color w:val="134E5C"/>
          <w:sz w:val="19"/>
        </w:rPr>
        <w:t> </w:t>
      </w:r>
      <w:r>
        <w:rPr>
          <w:color w:val="134E5C"/>
          <w:spacing w:val="-2"/>
          <w:sz w:val="19"/>
        </w:rPr>
        <w:t>555-</w:t>
      </w:r>
      <w:r>
        <w:rPr>
          <w:color w:val="134E5C"/>
          <w:spacing w:val="-4"/>
          <w:sz w:val="19"/>
        </w:rPr>
        <w:t>0142</w:t>
      </w:r>
    </w:p>
    <w:p>
      <w:pPr>
        <w:spacing w:line="259" w:lineRule="auto" w:before="119"/>
        <w:ind w:left="683" w:right="16" w:firstLine="0"/>
        <w:jc w:val="left"/>
        <w:rPr>
          <w:sz w:val="19"/>
        </w:rPr>
      </w:pPr>
      <w:r>
        <w:rPr>
          <w:color w:val="134E5C"/>
          <w:spacing w:val="-2"/>
          <w:sz w:val="19"/>
        </w:rPr>
        <w:t>priya.chandra.slp@exa mple.com</w:t>
      </w:r>
    </w:p>
    <w:p>
      <w:pPr>
        <w:pStyle w:val="BodyText"/>
        <w:ind w:firstLin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16"/>
        <w:ind w:firstLine="0"/>
        <w:rPr>
          <w:sz w:val="22"/>
        </w:rPr>
      </w:pPr>
    </w:p>
    <w:p>
      <w:pPr>
        <w:pStyle w:val="Heading1"/>
      </w:pPr>
      <w:r>
        <w:rPr>
          <w:color w:val="134E5C"/>
        </w:rPr>
        <w:t>PROFESSIONAL</w:t>
      </w:r>
      <w:r>
        <w:rPr>
          <w:color w:val="134E5C"/>
          <w:spacing w:val="-2"/>
        </w:rPr>
        <w:t> EXPERIENCE</w:t>
      </w:r>
    </w:p>
    <w:p>
      <w:pPr>
        <w:spacing w:before="136"/>
        <w:ind w:left="98" w:right="0" w:firstLine="0"/>
        <w:jc w:val="left"/>
        <w:rPr>
          <w:sz w:val="19"/>
        </w:rPr>
      </w:pPr>
      <w:r>
        <w:rPr>
          <w:spacing w:val="-2"/>
          <w:sz w:val="19"/>
        </w:rPr>
        <w:t>Speech-Language</w:t>
      </w:r>
      <w:r>
        <w:rPr>
          <w:spacing w:val="-1"/>
          <w:sz w:val="19"/>
        </w:rPr>
        <w:t> </w:t>
      </w:r>
      <w:r>
        <w:rPr>
          <w:spacing w:val="-2"/>
          <w:sz w:val="19"/>
        </w:rPr>
        <w:t>Pathologist</w:t>
      </w:r>
      <w:r>
        <w:rPr>
          <w:spacing w:val="1"/>
          <w:sz w:val="19"/>
        </w:rPr>
        <w:t> </w:t>
      </w:r>
      <w:r>
        <w:rPr>
          <w:color w:val="134E5C"/>
          <w:spacing w:val="-2"/>
          <w:sz w:val="19"/>
        </w:rPr>
        <w:t>|</w:t>
      </w:r>
      <w:r>
        <w:rPr>
          <w:color w:val="134E5C"/>
          <w:sz w:val="19"/>
        </w:rPr>
        <w:t> </w:t>
      </w:r>
      <w:r>
        <w:rPr>
          <w:color w:val="134E5C"/>
          <w:spacing w:val="-2"/>
          <w:sz w:val="19"/>
        </w:rPr>
        <w:t>Wake</w:t>
      </w:r>
      <w:r>
        <w:rPr>
          <w:color w:val="134E5C"/>
          <w:sz w:val="19"/>
        </w:rPr>
        <w:t> </w:t>
      </w:r>
      <w:r>
        <w:rPr>
          <w:color w:val="134E5C"/>
          <w:spacing w:val="-2"/>
          <w:sz w:val="19"/>
        </w:rPr>
        <w:t>Pediatric</w:t>
      </w:r>
      <w:r>
        <w:rPr>
          <w:color w:val="134E5C"/>
          <w:sz w:val="19"/>
        </w:rPr>
        <w:t> </w:t>
      </w:r>
      <w:r>
        <w:rPr>
          <w:color w:val="134E5C"/>
          <w:spacing w:val="-2"/>
          <w:sz w:val="19"/>
        </w:rPr>
        <w:t>Therapy</w:t>
      </w:r>
      <w:r>
        <w:rPr>
          <w:color w:val="134E5C"/>
          <w:spacing w:val="-1"/>
          <w:sz w:val="19"/>
        </w:rPr>
        <w:t> </w:t>
      </w:r>
      <w:r>
        <w:rPr>
          <w:color w:val="134E5C"/>
          <w:spacing w:val="-2"/>
          <w:sz w:val="19"/>
        </w:rPr>
        <w:t>Group,</w:t>
      </w:r>
      <w:r>
        <w:rPr>
          <w:color w:val="134E5C"/>
          <w:sz w:val="19"/>
        </w:rPr>
        <w:t> </w:t>
      </w:r>
      <w:r>
        <w:rPr>
          <w:color w:val="134E5C"/>
          <w:spacing w:val="-2"/>
          <w:sz w:val="19"/>
        </w:rPr>
        <w:t>Raleigh,</w:t>
      </w:r>
      <w:r>
        <w:rPr>
          <w:color w:val="134E5C"/>
          <w:sz w:val="19"/>
        </w:rPr>
        <w:t> </w:t>
      </w:r>
      <w:r>
        <w:rPr>
          <w:color w:val="134E5C"/>
          <w:spacing w:val="-5"/>
          <w:sz w:val="19"/>
        </w:rPr>
        <w:t>NC</w:t>
      </w:r>
    </w:p>
    <w:p>
      <w:pPr>
        <w:pStyle w:val="BodyText"/>
        <w:spacing w:before="36"/>
        <w:ind w:left="98" w:firstLine="0"/>
      </w:pPr>
      <w:r>
        <w:rPr>
          <w:color w:val="134E5C"/>
        </w:rPr>
        <w:t>2021 -</w:t>
      </w:r>
      <w:r>
        <w:rPr>
          <w:color w:val="134E5C"/>
          <w:spacing w:val="1"/>
        </w:rPr>
        <w:t> </w:t>
      </w:r>
      <w:r>
        <w:rPr>
          <w:color w:val="134E5C"/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20" w:bottom="280" w:left="708" w:right="0"/>
          <w:cols w:num="2" w:equalWidth="0">
            <w:col w:w="2662" w:space="1057"/>
            <w:col w:w="7493"/>
          </w:cols>
        </w:sectPr>
      </w:pPr>
    </w:p>
    <w:p>
      <w:pPr>
        <w:spacing w:before="177"/>
        <w:ind w:left="683" w:right="0" w:firstLine="0"/>
        <w:jc w:val="left"/>
        <w:rPr>
          <w:sz w:val="19"/>
        </w:rPr>
      </w:pPr>
      <w:r>
        <w:rPr>
          <w:color w:val="134E5C"/>
          <w:sz w:val="19"/>
        </w:rPr>
        <w:t>Raleigh,</w:t>
      </w:r>
      <w:r>
        <w:rPr>
          <w:color w:val="134E5C"/>
          <w:spacing w:val="-10"/>
          <w:sz w:val="19"/>
        </w:rPr>
        <w:t> </w:t>
      </w:r>
      <w:r>
        <w:rPr>
          <w:color w:val="134E5C"/>
          <w:sz w:val="19"/>
        </w:rPr>
        <w:t>NC</w:t>
      </w:r>
      <w:r>
        <w:rPr>
          <w:color w:val="134E5C"/>
          <w:spacing w:val="-10"/>
          <w:sz w:val="19"/>
        </w:rPr>
        <w:t> </w:t>
      </w:r>
      <w:r>
        <w:rPr>
          <w:color w:val="134E5C"/>
          <w:spacing w:val="-2"/>
          <w:sz w:val="19"/>
        </w:rPr>
        <w:t>12345</w:t>
      </w:r>
    </w:p>
    <w:p>
      <w:pPr>
        <w:pStyle w:val="BodyText"/>
        <w:ind w:firstLine="0"/>
        <w:rPr>
          <w:sz w:val="19"/>
        </w:rPr>
      </w:pPr>
    </w:p>
    <w:p>
      <w:pPr>
        <w:pStyle w:val="BodyText"/>
        <w:spacing w:before="135"/>
        <w:ind w:firstLine="0"/>
        <w:rPr>
          <w:sz w:val="19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169" w:lineRule="exact" w:before="0" w:after="0"/>
        <w:ind w:left="373" w:right="0" w:hanging="275"/>
        <w:jc w:val="left"/>
        <w:rPr>
          <w:sz w:val="17"/>
        </w:rPr>
      </w:pPr>
      <w:r>
        <w:rPr/>
        <w:br w:type="column"/>
      </w:r>
      <w:r>
        <w:rPr>
          <w:color w:val="134E5C"/>
          <w:sz w:val="17"/>
        </w:rPr>
        <w:t>Manage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a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caseload</w:t>
      </w:r>
      <w:r>
        <w:rPr>
          <w:color w:val="134E5C"/>
          <w:spacing w:val="10"/>
          <w:sz w:val="17"/>
        </w:rPr>
        <w:t> </w:t>
      </w:r>
      <w:r>
        <w:rPr>
          <w:color w:val="134E5C"/>
          <w:sz w:val="17"/>
        </w:rPr>
        <w:t>of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42</w:t>
      </w:r>
      <w:r>
        <w:rPr>
          <w:color w:val="134E5C"/>
          <w:spacing w:val="10"/>
          <w:sz w:val="17"/>
        </w:rPr>
        <w:t> </w:t>
      </w:r>
      <w:r>
        <w:rPr>
          <w:color w:val="134E5C"/>
          <w:sz w:val="17"/>
        </w:rPr>
        <w:t>pediatric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clients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weekly</w:t>
      </w:r>
      <w:r>
        <w:rPr>
          <w:color w:val="134E5C"/>
          <w:spacing w:val="10"/>
          <w:sz w:val="17"/>
        </w:rPr>
        <w:t> </w:t>
      </w:r>
      <w:r>
        <w:rPr>
          <w:color w:val="134E5C"/>
          <w:sz w:val="17"/>
        </w:rPr>
        <w:t>with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diagnoses</w:t>
      </w:r>
      <w:r>
        <w:rPr>
          <w:color w:val="134E5C"/>
          <w:spacing w:val="10"/>
          <w:sz w:val="17"/>
        </w:rPr>
        <w:t> </w:t>
      </w:r>
      <w:r>
        <w:rPr>
          <w:color w:val="134E5C"/>
          <w:sz w:val="17"/>
        </w:rPr>
        <w:t>spanning</w:t>
      </w:r>
      <w:r>
        <w:rPr>
          <w:color w:val="134E5C"/>
          <w:spacing w:val="9"/>
          <w:sz w:val="17"/>
        </w:rPr>
        <w:t> </w:t>
      </w:r>
      <w:r>
        <w:rPr>
          <w:color w:val="134E5C"/>
          <w:sz w:val="17"/>
        </w:rPr>
        <w:t>apraxia</w:t>
      </w:r>
      <w:r>
        <w:rPr>
          <w:color w:val="134E5C"/>
          <w:spacing w:val="10"/>
          <w:sz w:val="17"/>
        </w:rPr>
        <w:t> </w:t>
      </w:r>
      <w:r>
        <w:rPr>
          <w:color w:val="134E5C"/>
          <w:spacing w:val="-5"/>
          <w:sz w:val="17"/>
        </w:rPr>
        <w:t>of</w:t>
      </w:r>
    </w:p>
    <w:p>
      <w:pPr>
        <w:pStyle w:val="BodyText"/>
        <w:spacing w:before="12"/>
        <w:ind w:left="374" w:firstLine="0"/>
      </w:pPr>
      <w:r>
        <w:rPr>
          <w:color w:val="134E5C"/>
        </w:rPr>
        <w:t>speech,</w:t>
      </w:r>
      <w:r>
        <w:rPr>
          <w:color w:val="134E5C"/>
          <w:spacing w:val="8"/>
        </w:rPr>
        <w:t> </w:t>
      </w:r>
      <w:r>
        <w:rPr>
          <w:color w:val="134E5C"/>
        </w:rPr>
        <w:t>autism,</w:t>
      </w:r>
      <w:r>
        <w:rPr>
          <w:color w:val="134E5C"/>
          <w:spacing w:val="9"/>
        </w:rPr>
        <w:t> </w:t>
      </w:r>
      <w:r>
        <w:rPr>
          <w:color w:val="134E5C"/>
        </w:rPr>
        <w:t>language</w:t>
      </w:r>
      <w:r>
        <w:rPr>
          <w:color w:val="134E5C"/>
          <w:spacing w:val="8"/>
        </w:rPr>
        <w:t> </w:t>
      </w:r>
      <w:r>
        <w:rPr>
          <w:color w:val="134E5C"/>
        </w:rPr>
        <w:t>delay,</w:t>
      </w:r>
      <w:r>
        <w:rPr>
          <w:color w:val="134E5C"/>
          <w:spacing w:val="9"/>
        </w:rPr>
        <w:t> </w:t>
      </w:r>
      <w:r>
        <w:rPr>
          <w:color w:val="134E5C"/>
        </w:rPr>
        <w:t>and</w:t>
      </w:r>
      <w:r>
        <w:rPr>
          <w:color w:val="134E5C"/>
          <w:spacing w:val="8"/>
        </w:rPr>
        <w:t> </w:t>
      </w:r>
      <w:r>
        <w:rPr>
          <w:color w:val="134E5C"/>
        </w:rPr>
        <w:t>ﬂuency</w:t>
      </w:r>
      <w:r>
        <w:rPr>
          <w:color w:val="134E5C"/>
          <w:spacing w:val="9"/>
        </w:rPr>
        <w:t> </w:t>
      </w:r>
      <w:r>
        <w:rPr>
          <w:color w:val="134E5C"/>
          <w:spacing w:val="-2"/>
        </w:rPr>
        <w:t>disorders.</w:t>
      </w: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73" w:lineRule="auto" w:before="110" w:after="0"/>
        <w:ind w:left="374" w:right="309" w:hanging="276"/>
        <w:jc w:val="left"/>
        <w:rPr>
          <w:sz w:val="17"/>
        </w:rPr>
      </w:pPr>
      <w:r>
        <w:rPr>
          <w:color w:val="134E5C"/>
          <w:w w:val="105"/>
          <w:sz w:val="17"/>
        </w:rPr>
        <w:t>Completed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68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communication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device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evaluations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in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2023,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matching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9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children</w:t>
      </w:r>
      <w:r>
        <w:rPr>
          <w:color w:val="134E5C"/>
          <w:spacing w:val="-5"/>
          <w:w w:val="105"/>
          <w:sz w:val="17"/>
        </w:rPr>
        <w:t> </w:t>
      </w:r>
      <w:r>
        <w:rPr>
          <w:color w:val="134E5C"/>
          <w:w w:val="105"/>
          <w:sz w:val="17"/>
        </w:rPr>
        <w:t>to dedicated</w:t>
      </w:r>
      <w:r>
        <w:rPr>
          <w:color w:val="134E5C"/>
          <w:spacing w:val="-13"/>
          <w:w w:val="105"/>
          <w:sz w:val="17"/>
        </w:rPr>
        <w:t> </w:t>
      </w:r>
      <w:r>
        <w:rPr>
          <w:color w:val="134E5C"/>
          <w:w w:val="105"/>
          <w:sz w:val="17"/>
        </w:rPr>
        <w:t>speech-generating</w:t>
      </w:r>
      <w:r>
        <w:rPr>
          <w:color w:val="134E5C"/>
          <w:spacing w:val="-12"/>
          <w:w w:val="105"/>
          <w:sz w:val="17"/>
        </w:rPr>
        <w:t> </w:t>
      </w:r>
      <w:r>
        <w:rPr>
          <w:color w:val="134E5C"/>
          <w:w w:val="105"/>
          <w:sz w:val="17"/>
        </w:rPr>
        <w:t>devices</w:t>
      </w:r>
      <w:r>
        <w:rPr>
          <w:color w:val="134E5C"/>
          <w:spacing w:val="-13"/>
          <w:w w:val="105"/>
          <w:sz w:val="17"/>
        </w:rPr>
        <w:t> </w:t>
      </w:r>
      <w:r>
        <w:rPr>
          <w:color w:val="134E5C"/>
          <w:w w:val="105"/>
          <w:sz w:val="17"/>
        </w:rPr>
        <w:t>and</w:t>
      </w:r>
      <w:r>
        <w:rPr>
          <w:color w:val="134E5C"/>
          <w:spacing w:val="-12"/>
          <w:w w:val="105"/>
          <w:sz w:val="17"/>
        </w:rPr>
        <w:t> </w:t>
      </w:r>
      <w:r>
        <w:rPr>
          <w:color w:val="134E5C"/>
          <w:w w:val="105"/>
          <w:sz w:val="17"/>
        </w:rPr>
        <w:t>training</w:t>
      </w:r>
      <w:r>
        <w:rPr>
          <w:color w:val="134E5C"/>
          <w:spacing w:val="-12"/>
          <w:w w:val="105"/>
          <w:sz w:val="17"/>
        </w:rPr>
        <w:t> </w:t>
      </w:r>
      <w:r>
        <w:rPr>
          <w:color w:val="134E5C"/>
          <w:w w:val="105"/>
          <w:sz w:val="17"/>
        </w:rPr>
        <w:t>families</w:t>
      </w:r>
      <w:r>
        <w:rPr>
          <w:color w:val="134E5C"/>
          <w:spacing w:val="-13"/>
          <w:w w:val="105"/>
          <w:sz w:val="17"/>
        </w:rPr>
        <w:t> </w:t>
      </w:r>
      <w:r>
        <w:rPr>
          <w:color w:val="134E5C"/>
          <w:w w:val="105"/>
          <w:sz w:val="17"/>
        </w:rPr>
        <w:t>on</w:t>
      </w:r>
      <w:r>
        <w:rPr>
          <w:color w:val="134E5C"/>
          <w:spacing w:val="-12"/>
          <w:w w:val="105"/>
          <w:sz w:val="17"/>
        </w:rPr>
        <w:t> </w:t>
      </w:r>
      <w:r>
        <w:rPr>
          <w:color w:val="134E5C"/>
          <w:w w:val="105"/>
          <w:sz w:val="17"/>
        </w:rPr>
        <w:t>device</w:t>
      </w:r>
      <w:r>
        <w:rPr>
          <w:color w:val="134E5C"/>
          <w:spacing w:val="-13"/>
          <w:w w:val="105"/>
          <w:sz w:val="17"/>
        </w:rPr>
        <w:t> </w:t>
      </w:r>
      <w:r>
        <w:rPr>
          <w:color w:val="134E5C"/>
          <w:w w:val="105"/>
          <w:sz w:val="17"/>
        </w:rPr>
        <w:t>programming.</w:t>
      </w: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56" w:lineRule="auto" w:before="72" w:after="0"/>
        <w:ind w:left="374" w:right="445" w:hanging="276"/>
        <w:jc w:val="left"/>
        <w:rPr>
          <w:sz w:val="17"/>
        </w:rPr>
      </w:pPr>
      <w:r>
        <w:rPr>
          <w:color w:val="134E5C"/>
          <w:spacing w:val="-2"/>
          <w:w w:val="105"/>
          <w:position w:val="1"/>
          <w:sz w:val="17"/>
        </w:rPr>
        <w:t>Co-treat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with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occupational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therapy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on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a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monthly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sensory-feeding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group;</w:t>
      </w:r>
      <w:r>
        <w:rPr>
          <w:color w:val="134E5C"/>
          <w:spacing w:val="-6"/>
          <w:w w:val="105"/>
          <w:position w:val="1"/>
          <w:sz w:val="17"/>
        </w:rPr>
        <w:t> </w:t>
      </w:r>
      <w:r>
        <w:rPr>
          <w:color w:val="134E5C"/>
          <w:spacing w:val="-2"/>
          <w:w w:val="105"/>
          <w:position w:val="1"/>
          <w:sz w:val="17"/>
        </w:rPr>
        <w:t>caregiver-</w:t>
      </w:r>
      <w:r>
        <w:rPr>
          <w:color w:val="134E5C"/>
          <w:w w:val="105"/>
          <w:sz w:val="17"/>
        </w:rPr>
        <w:t>reported mealtime distress dropped noticeably across the 12-week cycle.</w:t>
      </w:r>
    </w:p>
    <w:p>
      <w:pPr>
        <w:pStyle w:val="ListParagraph"/>
        <w:spacing w:after="0" w:line="256" w:lineRule="auto"/>
        <w:jc w:val="left"/>
        <w:rPr>
          <w:sz w:val="17"/>
        </w:rPr>
        <w:sectPr>
          <w:type w:val="continuous"/>
          <w:pgSz w:w="11920" w:h="16860"/>
          <w:pgMar w:top="720" w:bottom="280" w:left="708" w:right="0"/>
          <w:cols w:num="2" w:equalWidth="0">
            <w:col w:w="2323" w:space="1723"/>
            <w:col w:w="7166"/>
          </w:cols>
        </w:sectPr>
      </w:pPr>
    </w:p>
    <w:p>
      <w:pPr>
        <w:pStyle w:val="ListParagraph"/>
        <w:numPr>
          <w:ilvl w:val="1"/>
          <w:numId w:val="1"/>
        </w:numPr>
        <w:tabs>
          <w:tab w:pos="545" w:val="left" w:leader="none"/>
        </w:tabs>
        <w:spacing w:line="181" w:lineRule="exact" w:before="0" w:after="0"/>
        <w:ind w:left="545" w:right="0" w:hanging="275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282142</wp:posOffset>
                </wp:positionH>
                <wp:positionV relativeFrom="page">
                  <wp:posOffset>0</wp:posOffset>
                </wp:positionV>
                <wp:extent cx="728662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286625" cy="10704830"/>
                          <a:chExt cx="728662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194345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830233"/>
                                </a:moveTo>
                                <a:lnTo>
                                  <a:pt x="0" y="2830233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830233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3267"/>
                                </a:lnTo>
                                <a:lnTo>
                                  <a:pt x="5091684" y="1913267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284095" cy="811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4095" h="8112125">
                                <a:moveTo>
                                  <a:pt x="2283587" y="8111585"/>
                                </a:moveTo>
                                <a:lnTo>
                                  <a:pt x="0" y="8111585"/>
                                </a:lnTo>
                                <a:lnTo>
                                  <a:pt x="0" y="0"/>
                                </a:lnTo>
                                <a:lnTo>
                                  <a:pt x="2283587" y="0"/>
                                </a:lnTo>
                                <a:lnTo>
                                  <a:pt x="2283587" y="811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691" y="511382"/>
                            <a:ext cx="1604683" cy="1613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862" y="3130014"/>
                            <a:ext cx="185842" cy="1858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130" y="3447424"/>
                            <a:ext cx="161304" cy="185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865" y="3768504"/>
                            <a:ext cx="185761" cy="160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001445" y="2830237"/>
                            <a:ext cx="282575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353060">
                                <a:moveTo>
                                  <a:pt x="282142" y="352677"/>
                                </a:moveTo>
                                <a:lnTo>
                                  <a:pt x="0" y="0"/>
                                </a:lnTo>
                                <a:lnTo>
                                  <a:pt x="282142" y="0"/>
                                </a:lnTo>
                                <a:lnTo>
                                  <a:pt x="282142" y="352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215914pt;margin-top:.000005pt;width:573.75pt;height:842.9pt;mso-position-horizontal-relative:page;mso-position-vertical-relative:page;z-index:-15774720" id="docshapegroup2" coordorigin="444,0" coordsize="11475,16858">
                <v:shape style="position:absolute;left:3899;top:0;width:8019;height:16858" id="docshape3" coordorigin="3900,0" coordsize="8019,16858" path="m11918,4457l3900,4457,3900,16858,11918,16858,11918,4457xm11918,0l3900,0,3900,3013,11918,3013,11918,0xe" filled="true" fillcolor="#f5f5f5" stroked="false">
                  <v:path arrowok="t"/>
                  <v:fill type="solid"/>
                </v:shape>
                <v:rect style="position:absolute;left:444;top:0;width:3597;height:12775" id="docshape4" filled="true" fillcolor="#ffffff" stroked="false">
                  <v:fill type="solid"/>
                </v:rect>
                <v:shape style="position:absolute;left:846;top:805;width:2528;height:2541" type="#_x0000_t75" id="docshape5" stroked="false">
                  <v:imagedata r:id="rId5" o:title=""/>
                </v:shape>
                <v:shape style="position:absolute;left:985;top:4929;width:293;height:293" type="#_x0000_t75" id="docshape6" stroked="false">
                  <v:imagedata r:id="rId6" o:title=""/>
                </v:shape>
                <v:shape style="position:absolute;left:1005;top:5429;width:255;height:293" type="#_x0000_t75" id="docshape7" stroked="false">
                  <v:imagedata r:id="rId7" o:title=""/>
                </v:shape>
                <v:shape style="position:absolute;left:985;top:5934;width:293;height:254" type="#_x0000_t75" id="docshape8" stroked="false">
                  <v:imagedata r:id="rId8" o:title=""/>
                </v:shape>
                <v:shape style="position:absolute;left:3596;top:4457;width:445;height:556" id="docshape9" coordorigin="3596,4457" coordsize="445,556" path="m4041,5012l3596,4457,4041,4457,4041,5012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z w:val="17"/>
        </w:rPr>
        <w:t>Communication</w:t>
      </w:r>
      <w:r>
        <w:rPr>
          <w:color w:val="134E5C"/>
          <w:spacing w:val="9"/>
          <w:sz w:val="17"/>
        </w:rPr>
        <w:t> </w:t>
      </w:r>
      <w:r>
        <w:rPr>
          <w:color w:val="134E5C"/>
          <w:spacing w:val="-2"/>
          <w:sz w:val="17"/>
        </w:rPr>
        <w:t>device</w:t>
      </w:r>
    </w:p>
    <w:p>
      <w:pPr>
        <w:pStyle w:val="BodyText"/>
        <w:spacing w:line="264" w:lineRule="auto" w:before="12"/>
        <w:ind w:left="546" w:right="149" w:firstLine="0"/>
      </w:pPr>
      <w:r>
        <w:rPr>
          <w:color w:val="134E5C"/>
          <w:spacing w:val="-2"/>
          <w:w w:val="105"/>
        </w:rPr>
        <w:t>evaluation</w:t>
      </w:r>
      <w:r>
        <w:rPr>
          <w:color w:val="134E5C"/>
          <w:spacing w:val="-11"/>
          <w:w w:val="105"/>
        </w:rPr>
        <w:t> </w:t>
      </w:r>
      <w:r>
        <w:rPr>
          <w:color w:val="134E5C"/>
          <w:spacing w:val="-2"/>
          <w:w w:val="105"/>
        </w:rPr>
        <w:t>and</w:t>
      </w:r>
      <w:r>
        <w:rPr>
          <w:color w:val="134E5C"/>
          <w:spacing w:val="-10"/>
          <w:w w:val="105"/>
        </w:rPr>
        <w:t> </w:t>
      </w:r>
      <w:r>
        <w:rPr>
          <w:color w:val="134E5C"/>
          <w:spacing w:val="-2"/>
          <w:w w:val="105"/>
        </w:rPr>
        <w:t>programming </w:t>
      </w:r>
      <w:r>
        <w:rPr>
          <w:color w:val="134E5C"/>
          <w:w w:val="105"/>
        </w:rPr>
        <w:t>across major speech-generating platforms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73" w:lineRule="auto" w:before="91" w:after="0"/>
        <w:ind w:left="546" w:right="481" w:hanging="276"/>
        <w:jc w:val="left"/>
        <w:rPr>
          <w:sz w:val="17"/>
        </w:rPr>
      </w:pPr>
      <w:r>
        <w:rPr>
          <w:color w:val="134E5C"/>
          <w:spacing w:val="-2"/>
          <w:w w:val="105"/>
          <w:sz w:val="17"/>
        </w:rPr>
        <w:t>Pediatric</w:t>
      </w:r>
      <w:r>
        <w:rPr>
          <w:color w:val="134E5C"/>
          <w:spacing w:val="-9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dysphagia</w:t>
      </w:r>
      <w:r>
        <w:rPr>
          <w:color w:val="134E5C"/>
          <w:spacing w:val="-9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and feeding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64" w:lineRule="auto" w:before="82" w:after="0"/>
        <w:ind w:left="546" w:right="299" w:hanging="276"/>
        <w:jc w:val="left"/>
        <w:rPr>
          <w:sz w:val="17"/>
        </w:rPr>
      </w:pPr>
      <w:r>
        <w:rPr>
          <w:color w:val="134E5C"/>
          <w:sz w:val="17"/>
        </w:rPr>
        <w:t>Instrumental</w:t>
      </w:r>
      <w:r>
        <w:rPr>
          <w:color w:val="134E5C"/>
          <w:spacing w:val="-2"/>
          <w:sz w:val="17"/>
        </w:rPr>
        <w:t> </w:t>
      </w:r>
      <w:r>
        <w:rPr>
          <w:color w:val="134E5C"/>
          <w:sz w:val="17"/>
        </w:rPr>
        <w:t>swallow</w:t>
      </w:r>
      <w:r>
        <w:rPr>
          <w:color w:val="134E5C"/>
          <w:spacing w:val="-2"/>
          <w:sz w:val="17"/>
        </w:rPr>
        <w:t> </w:t>
      </w:r>
      <w:r>
        <w:rPr>
          <w:color w:val="134E5C"/>
          <w:sz w:val="17"/>
        </w:rPr>
        <w:t>study interpretation and texture-modiﬁed diet leveling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56" w:lineRule="auto" w:before="91" w:after="0"/>
        <w:ind w:left="546" w:right="38" w:hanging="276"/>
        <w:jc w:val="left"/>
        <w:rPr>
          <w:sz w:val="17"/>
        </w:rPr>
      </w:pPr>
      <w:r>
        <w:rPr>
          <w:color w:val="134E5C"/>
          <w:sz w:val="17"/>
        </w:rPr>
        <w:t>Trained in tactile-cueing motor speech treatment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73" w:lineRule="auto" w:before="95" w:after="0"/>
        <w:ind w:left="546" w:right="443" w:hanging="276"/>
        <w:jc w:val="left"/>
        <w:rPr>
          <w:sz w:val="17"/>
        </w:rPr>
      </w:pPr>
      <w:r>
        <w:rPr>
          <w:color w:val="134E5C"/>
          <w:sz w:val="17"/>
        </w:rPr>
        <w:t>IEP writing and Medicaid </w:t>
      </w:r>
      <w:r>
        <w:rPr>
          <w:color w:val="134E5C"/>
          <w:spacing w:val="-2"/>
          <w:sz w:val="17"/>
        </w:rPr>
        <w:t>documentation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73" w:lineRule="auto" w:before="68" w:after="0"/>
        <w:ind w:left="546" w:right="449" w:hanging="276"/>
        <w:jc w:val="left"/>
        <w:rPr>
          <w:sz w:val="17"/>
        </w:rPr>
      </w:pPr>
      <w:r>
        <w:rPr>
          <w:color w:val="134E5C"/>
          <w:sz w:val="17"/>
        </w:rPr>
        <w:t>Bilingual service delivery </w:t>
      </w:r>
      <w:r>
        <w:rPr>
          <w:color w:val="134E5C"/>
          <w:spacing w:val="-2"/>
          <w:sz w:val="17"/>
        </w:rPr>
        <w:t>(English/Tamil)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64" w:lineRule="auto" w:before="82" w:after="0"/>
        <w:ind w:left="546" w:right="146" w:hanging="276"/>
        <w:jc w:val="left"/>
        <w:rPr>
          <w:sz w:val="17"/>
        </w:rPr>
      </w:pPr>
      <w:r>
        <w:rPr>
          <w:color w:val="134E5C"/>
          <w:spacing w:val="-2"/>
          <w:sz w:val="17"/>
        </w:rPr>
        <w:t>Picture-exchange </w:t>
      </w:r>
      <w:r>
        <w:rPr>
          <w:color w:val="134E5C"/>
          <w:sz w:val="17"/>
        </w:rPr>
        <w:t>communication and Hanen It Takes Two to Talk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56" w:lineRule="auto" w:before="91" w:after="0"/>
        <w:ind w:left="546" w:right="886" w:hanging="276"/>
        <w:jc w:val="left"/>
        <w:rPr>
          <w:sz w:val="17"/>
        </w:rPr>
      </w:pPr>
      <w:r>
        <w:rPr>
          <w:color w:val="134E5C"/>
          <w:spacing w:val="-2"/>
          <w:sz w:val="17"/>
        </w:rPr>
        <w:t>EMR:</w:t>
      </w:r>
      <w:r>
        <w:rPr>
          <w:color w:val="134E5C"/>
          <w:spacing w:val="-10"/>
          <w:sz w:val="17"/>
        </w:rPr>
        <w:t> </w:t>
      </w:r>
      <w:r>
        <w:rPr>
          <w:color w:val="134E5C"/>
          <w:spacing w:val="-2"/>
          <w:sz w:val="17"/>
        </w:rPr>
        <w:t>WebPT,</w:t>
      </w:r>
      <w:r>
        <w:rPr>
          <w:color w:val="134E5C"/>
          <w:spacing w:val="-10"/>
          <w:sz w:val="17"/>
        </w:rPr>
        <w:t> </w:t>
      </w:r>
      <w:r>
        <w:rPr>
          <w:color w:val="134E5C"/>
          <w:spacing w:val="-2"/>
          <w:sz w:val="17"/>
        </w:rPr>
        <w:t>Epic, SimplePractice</w:t>
      </w:r>
    </w:p>
    <w:p>
      <w:pPr>
        <w:pStyle w:val="ListParagraph"/>
        <w:numPr>
          <w:ilvl w:val="2"/>
          <w:numId w:val="1"/>
        </w:numPr>
        <w:tabs>
          <w:tab w:pos="873" w:val="left" w:leader="none"/>
        </w:tabs>
        <w:spacing w:line="256" w:lineRule="auto" w:before="96" w:after="0"/>
        <w:ind w:left="873" w:right="378" w:hanging="276"/>
        <w:jc w:val="left"/>
        <w:rPr>
          <w:sz w:val="17"/>
        </w:rPr>
      </w:pPr>
      <w:r>
        <w:rPr/>
        <w:br w:type="column"/>
      </w:r>
      <w:r>
        <w:rPr>
          <w:color w:val="134E5C"/>
          <w:sz w:val="17"/>
        </w:rPr>
        <w:t>Wrote and defended IEP goals for school-district contracts, keeping documentation compliant with NC Medicaid billing requirements.</w:t>
      </w:r>
    </w:p>
    <w:p>
      <w:pPr>
        <w:pStyle w:val="ListParagraph"/>
        <w:numPr>
          <w:ilvl w:val="2"/>
          <w:numId w:val="1"/>
        </w:numPr>
        <w:tabs>
          <w:tab w:pos="873" w:val="left" w:leader="none"/>
        </w:tabs>
        <w:spacing w:line="273" w:lineRule="auto" w:before="95" w:after="0"/>
        <w:ind w:left="873" w:right="729" w:hanging="276"/>
        <w:jc w:val="left"/>
        <w:rPr>
          <w:sz w:val="17"/>
        </w:rPr>
      </w:pPr>
      <w:r>
        <w:rPr>
          <w:color w:val="134E5C"/>
          <w:sz w:val="17"/>
        </w:rPr>
        <w:t>Precept graduate externs from two in-state university programs each semester, averaging 2 students per year.</w:t>
      </w:r>
    </w:p>
    <w:p>
      <w:pPr>
        <w:spacing w:before="105"/>
        <w:ind w:left="270" w:right="0" w:firstLine="0"/>
        <w:jc w:val="left"/>
        <w:rPr>
          <w:sz w:val="19"/>
        </w:rPr>
      </w:pPr>
      <w:r>
        <w:rPr>
          <w:sz w:val="19"/>
        </w:rPr>
        <w:t>Speech-Language</w:t>
      </w:r>
      <w:r>
        <w:rPr>
          <w:spacing w:val="-11"/>
          <w:sz w:val="19"/>
        </w:rPr>
        <w:t> </w:t>
      </w:r>
      <w:r>
        <w:rPr>
          <w:sz w:val="19"/>
        </w:rPr>
        <w:t>Pathologist</w:t>
      </w:r>
      <w:r>
        <w:rPr>
          <w:spacing w:val="-11"/>
          <w:sz w:val="19"/>
        </w:rPr>
        <w:t> </w:t>
      </w:r>
      <w:r>
        <w:rPr>
          <w:sz w:val="19"/>
        </w:rPr>
        <w:t>(per</w:t>
      </w:r>
      <w:r>
        <w:rPr>
          <w:spacing w:val="-11"/>
          <w:sz w:val="19"/>
        </w:rPr>
        <w:t> </w:t>
      </w:r>
      <w:r>
        <w:rPr>
          <w:sz w:val="19"/>
        </w:rPr>
        <w:t>diem)</w:t>
      </w:r>
      <w:r>
        <w:rPr>
          <w:spacing w:val="-11"/>
          <w:sz w:val="19"/>
        </w:rPr>
        <w:t> </w:t>
      </w:r>
      <w:r>
        <w:rPr>
          <w:color w:val="134E5C"/>
          <w:sz w:val="19"/>
        </w:rPr>
        <w:t>|</w:t>
      </w:r>
      <w:r>
        <w:rPr>
          <w:color w:val="134E5C"/>
          <w:spacing w:val="-11"/>
          <w:sz w:val="19"/>
        </w:rPr>
        <w:t> </w:t>
      </w:r>
      <w:r>
        <w:rPr>
          <w:color w:val="134E5C"/>
          <w:sz w:val="19"/>
        </w:rPr>
        <w:t>Cedar</w:t>
      </w:r>
      <w:r>
        <w:rPr>
          <w:color w:val="134E5C"/>
          <w:spacing w:val="-11"/>
          <w:sz w:val="19"/>
        </w:rPr>
        <w:t> </w:t>
      </w:r>
      <w:r>
        <w:rPr>
          <w:color w:val="134E5C"/>
          <w:sz w:val="19"/>
        </w:rPr>
        <w:t>Ridge</w:t>
      </w:r>
      <w:r>
        <w:rPr>
          <w:color w:val="134E5C"/>
          <w:spacing w:val="-11"/>
          <w:sz w:val="19"/>
        </w:rPr>
        <w:t> </w:t>
      </w:r>
      <w:r>
        <w:rPr>
          <w:color w:val="134E5C"/>
          <w:sz w:val="19"/>
        </w:rPr>
        <w:t>Regional</w:t>
      </w:r>
      <w:r>
        <w:rPr>
          <w:color w:val="134E5C"/>
          <w:spacing w:val="-11"/>
          <w:sz w:val="19"/>
        </w:rPr>
        <w:t> </w:t>
      </w:r>
      <w:r>
        <w:rPr>
          <w:color w:val="134E5C"/>
          <w:sz w:val="19"/>
        </w:rPr>
        <w:t>Hospital,</w:t>
      </w:r>
      <w:r>
        <w:rPr>
          <w:color w:val="134E5C"/>
          <w:spacing w:val="-11"/>
          <w:sz w:val="19"/>
        </w:rPr>
        <w:t> </w:t>
      </w:r>
      <w:r>
        <w:rPr>
          <w:color w:val="134E5C"/>
          <w:sz w:val="19"/>
        </w:rPr>
        <w:t>Durham,</w:t>
      </w:r>
      <w:r>
        <w:rPr>
          <w:color w:val="134E5C"/>
          <w:spacing w:val="-11"/>
          <w:sz w:val="19"/>
        </w:rPr>
        <w:t> </w:t>
      </w:r>
      <w:r>
        <w:rPr>
          <w:color w:val="134E5C"/>
          <w:spacing w:val="-5"/>
          <w:sz w:val="19"/>
        </w:rPr>
        <w:t>NC</w:t>
      </w:r>
    </w:p>
    <w:p>
      <w:pPr>
        <w:pStyle w:val="BodyText"/>
        <w:spacing w:before="22"/>
        <w:ind w:left="270" w:firstLine="0"/>
      </w:pPr>
      <w:r>
        <w:rPr>
          <w:color w:val="134E5C"/>
        </w:rPr>
        <w:t>2019 -</w:t>
      </w:r>
      <w:r>
        <w:rPr>
          <w:color w:val="134E5C"/>
          <w:spacing w:val="1"/>
        </w:rPr>
        <w:t> </w:t>
      </w:r>
      <w:r>
        <w:rPr>
          <w:color w:val="134E5C"/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873" w:val="left" w:leader="none"/>
        </w:tabs>
        <w:spacing w:line="273" w:lineRule="auto" w:before="124" w:after="0"/>
        <w:ind w:left="873" w:right="368" w:hanging="276"/>
        <w:jc w:val="left"/>
        <w:rPr>
          <w:sz w:val="17"/>
        </w:rPr>
      </w:pPr>
      <w:r>
        <w:rPr>
          <w:color w:val="134E5C"/>
          <w:spacing w:val="-2"/>
          <w:w w:val="105"/>
          <w:sz w:val="17"/>
        </w:rPr>
        <w:t>Rotated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through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acute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care,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critical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care,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and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inpatient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rehab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covering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roughly</w:t>
      </w:r>
      <w:r>
        <w:rPr>
          <w:color w:val="134E5C"/>
          <w:spacing w:val="-3"/>
          <w:w w:val="105"/>
          <w:sz w:val="17"/>
        </w:rPr>
        <w:t> </w:t>
      </w:r>
      <w:r>
        <w:rPr>
          <w:color w:val="134E5C"/>
          <w:spacing w:val="-2"/>
          <w:w w:val="105"/>
          <w:sz w:val="17"/>
        </w:rPr>
        <w:t>8-10 </w:t>
      </w:r>
      <w:r>
        <w:rPr>
          <w:color w:val="134E5C"/>
          <w:w w:val="105"/>
          <w:sz w:val="17"/>
        </w:rPr>
        <w:t>evaluations per shift.</w:t>
      </w:r>
    </w:p>
    <w:p>
      <w:pPr>
        <w:pStyle w:val="ListParagraph"/>
        <w:numPr>
          <w:ilvl w:val="2"/>
          <w:numId w:val="1"/>
        </w:numPr>
        <w:tabs>
          <w:tab w:pos="873" w:val="left" w:leader="none"/>
        </w:tabs>
        <w:spacing w:line="256" w:lineRule="auto" w:before="82" w:after="0"/>
        <w:ind w:left="873" w:right="653" w:hanging="276"/>
        <w:jc w:val="left"/>
        <w:rPr>
          <w:sz w:val="17"/>
        </w:rPr>
      </w:pPr>
      <w:r>
        <w:rPr>
          <w:color w:val="134E5C"/>
          <w:sz w:val="17"/>
        </w:rPr>
        <w:t>Performed bedside swallow evaluations and instrumental swallow studies under </w:t>
      </w:r>
      <w:r>
        <w:rPr>
          <w:color w:val="134E5C"/>
          <w:w w:val="105"/>
          <w:sz w:val="17"/>
        </w:rPr>
        <w:t>radiology, recommending standardized texture-modiﬁed diets.</w:t>
      </w:r>
    </w:p>
    <w:p>
      <w:pPr>
        <w:pStyle w:val="ListParagraph"/>
        <w:numPr>
          <w:ilvl w:val="2"/>
          <w:numId w:val="1"/>
        </w:numPr>
        <w:tabs>
          <w:tab w:pos="873" w:val="left" w:leader="none"/>
        </w:tabs>
        <w:spacing w:line="273" w:lineRule="auto" w:before="96" w:after="0"/>
        <w:ind w:left="873" w:right="126" w:hanging="276"/>
        <w:jc w:val="left"/>
        <w:rPr>
          <w:sz w:val="17"/>
        </w:rPr>
      </w:pPr>
      <w:r>
        <w:rPr>
          <w:color w:val="134E5C"/>
          <w:sz w:val="17"/>
        </w:rPr>
        <w:t>Trained nursing staff on aspiration precautions during a unit-wide dysphagia education </w:t>
      </w:r>
      <w:r>
        <w:rPr>
          <w:color w:val="134E5C"/>
          <w:spacing w:val="-2"/>
          <w:sz w:val="17"/>
        </w:rPr>
        <w:t>push.</w:t>
      </w:r>
    </w:p>
    <w:p>
      <w:pPr>
        <w:pStyle w:val="Heading1"/>
        <w:spacing w:before="160"/>
        <w:ind w:left="270"/>
      </w:pPr>
      <w:r>
        <w:rPr>
          <w:color w:val="134E5C"/>
          <w:spacing w:val="-2"/>
        </w:rPr>
        <w:t>EDUCATION</w:t>
      </w:r>
    </w:p>
    <w:p>
      <w:pPr>
        <w:spacing w:line="396" w:lineRule="auto" w:before="136"/>
        <w:ind w:left="270" w:right="1394" w:firstLine="0"/>
        <w:jc w:val="left"/>
        <w:rPr>
          <w:sz w:val="19"/>
        </w:rPr>
      </w:pPr>
      <w:r>
        <w:rPr>
          <w:sz w:val="19"/>
        </w:rPr>
        <w:t>M.S., Speech-Language Pathology, East Carolina University, 2019 B.A.,</w:t>
      </w:r>
      <w:r>
        <w:rPr>
          <w:spacing w:val="-11"/>
          <w:sz w:val="19"/>
        </w:rPr>
        <w:t> </w:t>
      </w:r>
      <w:r>
        <w:rPr>
          <w:sz w:val="19"/>
        </w:rPr>
        <w:t>Communication</w:t>
      </w:r>
      <w:r>
        <w:rPr>
          <w:spacing w:val="-11"/>
          <w:sz w:val="19"/>
        </w:rPr>
        <w:t> </w:t>
      </w:r>
      <w:r>
        <w:rPr>
          <w:sz w:val="19"/>
        </w:rPr>
        <w:t>Sciences</w:t>
      </w:r>
      <w:r>
        <w:rPr>
          <w:spacing w:val="-11"/>
          <w:sz w:val="19"/>
        </w:rPr>
        <w:t> </w:t>
      </w:r>
      <w:r>
        <w:rPr>
          <w:sz w:val="19"/>
        </w:rPr>
        <w:t>and</w:t>
      </w:r>
      <w:r>
        <w:rPr>
          <w:spacing w:val="-11"/>
          <w:sz w:val="19"/>
        </w:rPr>
        <w:t> </w:t>
      </w:r>
      <w:r>
        <w:rPr>
          <w:sz w:val="19"/>
        </w:rPr>
        <w:t>Disorders,</w:t>
      </w:r>
      <w:r>
        <w:rPr>
          <w:spacing w:val="-11"/>
          <w:sz w:val="19"/>
        </w:rPr>
        <w:t> </w:t>
      </w:r>
      <w:r>
        <w:rPr>
          <w:sz w:val="19"/>
        </w:rPr>
        <w:t>in-state</w:t>
      </w:r>
      <w:r>
        <w:rPr>
          <w:spacing w:val="-11"/>
          <w:sz w:val="19"/>
        </w:rPr>
        <w:t> </w:t>
      </w:r>
      <w:r>
        <w:rPr>
          <w:sz w:val="19"/>
        </w:rPr>
        <w:t>university,</w:t>
      </w:r>
      <w:r>
        <w:rPr>
          <w:spacing w:val="-11"/>
          <w:sz w:val="19"/>
        </w:rPr>
        <w:t> </w:t>
      </w:r>
      <w:r>
        <w:rPr>
          <w:sz w:val="19"/>
        </w:rPr>
        <w:t>2017</w:t>
      </w:r>
    </w:p>
    <w:p>
      <w:pPr>
        <w:spacing w:line="259" w:lineRule="auto" w:before="1"/>
        <w:ind w:left="270" w:right="-15" w:firstLine="0"/>
        <w:jc w:val="left"/>
        <w:rPr>
          <w:sz w:val="19"/>
        </w:rPr>
      </w:pPr>
      <w:r>
        <w:rPr>
          <w:sz w:val="19"/>
        </w:rPr>
        <w:t>State</w:t>
      </w:r>
      <w:r>
        <w:rPr>
          <w:spacing w:val="-7"/>
          <w:sz w:val="19"/>
        </w:rPr>
        <w:t> </w:t>
      </w:r>
      <w:r>
        <w:rPr>
          <w:sz w:val="19"/>
        </w:rPr>
        <w:t>Speech-Language</w:t>
      </w:r>
      <w:r>
        <w:rPr>
          <w:spacing w:val="-7"/>
          <w:sz w:val="19"/>
        </w:rPr>
        <w:t> </w:t>
      </w:r>
      <w:r>
        <w:rPr>
          <w:sz w:val="19"/>
        </w:rPr>
        <w:t>Pathology</w:t>
      </w:r>
      <w:r>
        <w:rPr>
          <w:spacing w:val="-7"/>
          <w:sz w:val="19"/>
        </w:rPr>
        <w:t> </w:t>
      </w:r>
      <w:r>
        <w:rPr>
          <w:sz w:val="19"/>
        </w:rPr>
        <w:t>License,</w:t>
      </w:r>
      <w:r>
        <w:rPr>
          <w:spacing w:val="-7"/>
          <w:sz w:val="19"/>
        </w:rPr>
        <w:t> </w:t>
      </w:r>
      <w:r>
        <w:rPr>
          <w:sz w:val="19"/>
        </w:rPr>
        <w:t>active;</w:t>
      </w:r>
      <w:r>
        <w:rPr>
          <w:spacing w:val="-7"/>
          <w:sz w:val="19"/>
        </w:rPr>
        <w:t> </w:t>
      </w:r>
      <w:r>
        <w:rPr>
          <w:sz w:val="19"/>
        </w:rPr>
        <w:t>Certiﬁcate</w:t>
      </w:r>
      <w:r>
        <w:rPr>
          <w:spacing w:val="-7"/>
          <w:sz w:val="19"/>
        </w:rPr>
        <w:t> </w:t>
      </w:r>
      <w:r>
        <w:rPr>
          <w:sz w:val="19"/>
        </w:rPr>
        <w:t>of</w:t>
      </w:r>
      <w:r>
        <w:rPr>
          <w:spacing w:val="-7"/>
          <w:sz w:val="19"/>
        </w:rPr>
        <w:t> </w:t>
      </w:r>
      <w:r>
        <w:rPr>
          <w:sz w:val="19"/>
        </w:rPr>
        <w:t>Clinical</w:t>
      </w:r>
      <w:r>
        <w:rPr>
          <w:spacing w:val="-7"/>
          <w:sz w:val="19"/>
        </w:rPr>
        <w:t> </w:t>
      </w:r>
      <w:r>
        <w:rPr>
          <w:sz w:val="19"/>
        </w:rPr>
        <w:t>Competence</w:t>
      </w:r>
      <w:r>
        <w:rPr>
          <w:spacing w:val="-7"/>
          <w:sz w:val="19"/>
        </w:rPr>
        <w:t> </w:t>
      </w:r>
      <w:r>
        <w:rPr>
          <w:sz w:val="19"/>
        </w:rPr>
        <w:t>in Speech-Language Pathology</w:t>
      </w:r>
    </w:p>
    <w:sectPr>
      <w:type w:val="continuous"/>
      <w:pgSz w:w="11920" w:h="16860"/>
      <w:pgMar w:top="720" w:bottom="280" w:left="708" w:right="0"/>
      <w:cols w:num="2" w:equalWidth="0">
        <w:col w:w="2913" w:space="634"/>
        <w:col w:w="76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74" w:hanging="276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4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6" w:hanging="276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4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73" w:hanging="276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4"/>
        <w:sz w:val="17"/>
        <w:szCs w:val="17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8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5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27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79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30" w:hanging="27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76"/>
    </w:pPr>
    <w:rPr>
      <w:rFonts w:ascii="Arial" w:hAnsi="Arial" w:eastAsia="Arial" w:cs="Arial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8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546" w:hanging="27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2026-09-21T15:30:31Z</dcterms:created>
  <dcterms:modified xsi:type="dcterms:W3CDTF">2026-09-21T15:30:31Z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