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448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Justin</w:t>
      </w:r>
      <w:r>
        <w:rPr>
          <w:b/>
          <w:color w:val="FFFFFF"/>
          <w:spacing w:val="35"/>
          <w:sz w:val="74"/>
        </w:rPr>
        <w:t> </w:t>
      </w:r>
      <w:r>
        <w:rPr>
          <w:color w:val="FFFFFF"/>
          <w:spacing w:val="9"/>
          <w:sz w:val="74"/>
        </w:rPr>
        <w:t>Parker</w:t>
      </w:r>
    </w:p>
    <w:p>
      <w:pPr>
        <w:pStyle w:val="Heading2"/>
      </w:pPr>
      <w:r>
        <w:rPr>
          <w:color w:val="FFFFFF"/>
          <w:spacing w:val="-2"/>
        </w:rPr>
        <w:t>Science</w:t>
      </w:r>
    </w:p>
    <w:p>
      <w:pPr>
        <w:spacing w:line="273" w:lineRule="auto" w:before="193"/>
        <w:ind w:left="448" w:right="601" w:firstLine="0"/>
        <w:jc w:val="left"/>
        <w:rPr>
          <w:sz w:val="16"/>
        </w:rPr>
      </w:pPr>
      <w:r>
        <w:rPr>
          <w:color w:val="FFFFFF"/>
          <w:w w:val="105"/>
          <w:sz w:val="16"/>
        </w:rPr>
        <w:t>Molecular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biologist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7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designing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assays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academic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industry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labs.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Comfortable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owning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project from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hypothesis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through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publication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or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regulatory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submission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package.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Strongest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mammalian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cell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culture,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genome-editing screens, and next-gen sequencing workflows.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425" w:right="283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2"/>
        <w:rPr>
          <w:sz w:val="20"/>
        </w:rPr>
      </w:pPr>
    </w:p>
    <w:p>
      <w:pPr>
        <w:pStyle w:val="Heading1"/>
      </w:pPr>
      <w:r>
        <w:rPr>
          <w:smallCaps/>
          <w:color w:val="F5F5F5"/>
          <w:w w:val="95"/>
        </w:rPr>
        <w:t>Contact</w:t>
      </w:r>
      <w:r>
        <w:rPr>
          <w:smallCaps/>
          <w:color w:val="F5F5F5"/>
          <w:spacing w:val="-3"/>
        </w:rPr>
        <w:t> </w:t>
      </w:r>
      <w:r>
        <w:rPr>
          <w:smallCaps/>
          <w:color w:val="F5F5F5"/>
          <w:spacing w:val="-2"/>
          <w:w w:val="90"/>
        </w:rPr>
        <w:t>Information</w:t>
      </w:r>
    </w:p>
    <w:p>
      <w:pPr>
        <w:spacing w:before="52"/>
        <w:ind w:left="58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smallCaps/>
          <w:color w:val="45818F"/>
          <w:spacing w:val="4"/>
          <w:w w:val="90"/>
          <w:sz w:val="28"/>
        </w:rPr>
        <w:t>Professional</w:t>
      </w:r>
      <w:r>
        <w:rPr>
          <w:b/>
          <w:smallCaps/>
          <w:color w:val="45818F"/>
          <w:spacing w:val="55"/>
          <w:sz w:val="28"/>
        </w:rPr>
        <w:t> </w:t>
      </w:r>
      <w:r>
        <w:rPr>
          <w:b/>
          <w:smallCaps/>
          <w:color w:val="45818F"/>
          <w:spacing w:val="-2"/>
          <w:w w:val="95"/>
          <w:sz w:val="28"/>
        </w:rPr>
        <w:t>Experience</w:t>
      </w:r>
    </w:p>
    <w:p>
      <w:pPr>
        <w:pStyle w:val="BodyText"/>
        <w:spacing w:before="40"/>
        <w:rPr>
          <w:b/>
          <w:sz w:val="20"/>
        </w:rPr>
      </w:pPr>
    </w:p>
    <w:p>
      <w:pPr>
        <w:pStyle w:val="BodyText"/>
        <w:spacing w:line="268" w:lineRule="auto"/>
        <w:ind w:left="170" w:right="825"/>
      </w:pPr>
      <w:r>
        <w:rPr>
          <w:w w:val="105"/>
        </w:rPr>
        <w:t>Scientist II, Functional Genomics </w:t>
      </w:r>
      <w:r>
        <w:rPr>
          <w:w w:val="105"/>
          <w:position w:val="2"/>
        </w:rPr>
        <w:t>| </w:t>
      </w:r>
      <w:r>
        <w:rPr>
          <w:w w:val="105"/>
        </w:rPr>
        <w:t>Northline Therapeutics, Cambridge, MA 2021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425" w:right="283"/>
          <w:cols w:num="2" w:equalWidth="0">
            <w:col w:w="2678" w:space="1153"/>
            <w:col w:w="7381"/>
          </w:cols>
        </w:sectPr>
      </w:pPr>
    </w:p>
    <w:p>
      <w:pPr>
        <w:pStyle w:val="BodyText"/>
        <w:spacing w:before="68"/>
        <w:ind w:left="597"/>
      </w:pPr>
      <w:r>
        <w:rPr>
          <w:color w:val="424242"/>
        </w:rPr>
        <w:t>(617)</w:t>
      </w:r>
      <w:r>
        <w:rPr>
          <w:color w:val="424242"/>
          <w:spacing w:val="16"/>
        </w:rPr>
        <w:t> </w:t>
      </w:r>
      <w:r>
        <w:rPr>
          <w:color w:val="424242"/>
        </w:rPr>
        <w:t>555-</w:t>
      </w:r>
      <w:r>
        <w:rPr>
          <w:color w:val="424242"/>
          <w:spacing w:val="-4"/>
        </w:rPr>
        <w:t>0142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597"/>
      </w:pPr>
      <w:hyperlink r:id="rId5">
        <w:r>
          <w:rPr>
            <w:color w:val="424242"/>
            <w:spacing w:val="-2"/>
          </w:rPr>
          <w:t>priya.ramaswamy@example.co</w:t>
        </w:r>
      </w:hyperlink>
      <w:r>
        <w:rPr>
          <w:color w:val="424242"/>
          <w:spacing w:val="-2"/>
        </w:rPr>
        <w:t> </w:t>
      </w:r>
      <w:r>
        <w:rPr>
          <w:color w:val="424242"/>
          <w:spacing w:val="-10"/>
          <w:w w:val="105"/>
        </w:rPr>
        <w:t>m</w:t>
      </w:r>
    </w:p>
    <w:p>
      <w:pPr>
        <w:pStyle w:val="BodyText"/>
        <w:spacing w:before="33"/>
      </w:pPr>
    </w:p>
    <w:p>
      <w:pPr>
        <w:pStyle w:val="BodyText"/>
        <w:ind w:left="597"/>
      </w:pPr>
      <w:r>
        <w:rPr>
          <w:color w:val="424242"/>
        </w:rPr>
        <w:t>Cambridge,</w:t>
      </w:r>
      <w:r>
        <w:rPr>
          <w:color w:val="424242"/>
          <w:spacing w:val="15"/>
        </w:rPr>
        <w:t> </w:t>
      </w:r>
      <w:r>
        <w:rPr>
          <w:color w:val="424242"/>
        </w:rPr>
        <w:t>MA</w:t>
      </w:r>
      <w:r>
        <w:rPr>
          <w:color w:val="424242"/>
          <w:spacing w:val="3"/>
        </w:rPr>
        <w:t> </w:t>
      </w:r>
      <w:r>
        <w:rPr>
          <w:color w:val="424242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Heading1"/>
      </w:pPr>
      <w:r>
        <w:rPr>
          <w:smallCaps/>
          <w:color w:val="F5F5F5"/>
          <w:spacing w:val="-2"/>
        </w:rPr>
        <w:t>Education</w:t>
      </w:r>
    </w:p>
    <w:p>
      <w:pPr>
        <w:pStyle w:val="BodyText"/>
        <w:spacing w:before="131"/>
        <w:rPr>
          <w:b/>
          <w:sz w:val="20"/>
        </w:rPr>
      </w:pPr>
    </w:p>
    <w:p>
      <w:pPr>
        <w:spacing w:line="273" w:lineRule="auto" w:before="0"/>
        <w:ind w:left="170" w:right="0" w:firstLine="0"/>
        <w:jc w:val="left"/>
        <w:rPr>
          <w:sz w:val="16"/>
        </w:rPr>
      </w:pPr>
      <w:r>
        <w:rPr>
          <w:color w:val="424242"/>
          <w:w w:val="105"/>
          <w:sz w:val="16"/>
        </w:rPr>
        <w:t>Ph.D., Molecular and Cellular Biology, University of Michigan, 2018</w:t>
      </w:r>
    </w:p>
    <w:p>
      <w:pPr>
        <w:pStyle w:val="BodyText"/>
        <w:spacing w:before="101"/>
        <w:rPr>
          <w:sz w:val="16"/>
        </w:rPr>
      </w:pPr>
    </w:p>
    <w:p>
      <w:pPr>
        <w:spacing w:line="273" w:lineRule="auto" w:before="1"/>
        <w:ind w:left="170" w:right="0" w:firstLine="0"/>
        <w:jc w:val="left"/>
        <w:rPr>
          <w:sz w:val="16"/>
        </w:rPr>
      </w:pPr>
      <w:r>
        <w:rPr>
          <w:color w:val="424242"/>
          <w:w w:val="105"/>
          <w:sz w:val="16"/>
        </w:rPr>
        <w:t>B.S., Biochemistry, University of California, San Diego, 2012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95" w:after="0"/>
        <w:ind w:left="523" w:right="150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Designed and executed a genome-wide knockout screen in acute myeloid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leukemia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cell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lines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identified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candidate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synthetic-lethal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targets,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three</w:t>
      </w:r>
    </w:p>
    <w:p>
      <w:pPr>
        <w:pStyle w:val="BodyText"/>
        <w:spacing w:before="25"/>
        <w:ind w:left="523"/>
      </w:pPr>
      <w:r>
        <w:rPr>
          <w:w w:val="105"/>
        </w:rPr>
        <w:t>of</w:t>
      </w:r>
      <w:r>
        <w:rPr>
          <w:spacing w:val="22"/>
          <w:w w:val="105"/>
        </w:rPr>
        <w:t> </w:t>
      </w:r>
      <w:r>
        <w:rPr>
          <w:w w:val="105"/>
        </w:rPr>
        <w:t>which</w:t>
      </w:r>
      <w:r>
        <w:rPr>
          <w:spacing w:val="22"/>
          <w:w w:val="105"/>
        </w:rPr>
        <w:t> </w:t>
      </w:r>
      <w:r>
        <w:rPr>
          <w:w w:val="105"/>
        </w:rPr>
        <w:t>advanced</w:t>
      </w:r>
      <w:r>
        <w:rPr>
          <w:spacing w:val="23"/>
          <w:w w:val="105"/>
        </w:rPr>
        <w:t> </w:t>
      </w:r>
      <w:r>
        <w:rPr>
          <w:w w:val="105"/>
        </w:rPr>
        <w:t>into</w:t>
      </w:r>
      <w:r>
        <w:rPr>
          <w:spacing w:val="22"/>
          <w:w w:val="105"/>
        </w:rPr>
        <w:t> </w:t>
      </w:r>
      <w:r>
        <w:rPr>
          <w:w w:val="105"/>
        </w:rPr>
        <w:t>medicinal</w:t>
      </w:r>
      <w:r>
        <w:rPr>
          <w:spacing w:val="23"/>
          <w:w w:val="105"/>
        </w:rPr>
        <w:t> </w:t>
      </w:r>
      <w:r>
        <w:rPr>
          <w:spacing w:val="-2"/>
          <w:w w:val="105"/>
        </w:rPr>
        <w:t>chemistry.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90" w:after="0"/>
        <w:ind w:left="523" w:right="113" w:hanging="298"/>
        <w:jc w:val="left"/>
        <w:rPr>
          <w:position w:val="-4"/>
          <w:sz w:val="31"/>
        </w:rPr>
      </w:pPr>
      <w:r>
        <w:rPr>
          <w:w w:val="105"/>
          <w:sz w:val="18"/>
        </w:rPr>
        <w:t>Rebuilt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group's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variant-calling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pipeline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Nextflow,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turnaround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on a standard exome from about 9 hours to under 2.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81" w:after="0"/>
        <w:ind w:left="523" w:right="273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 the assay-validation section for two regulatory submission packages under quality-controlled standards.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189" w:lineRule="auto" w:before="109" w:after="0"/>
        <w:ind w:left="523" w:right="41" w:hanging="298"/>
        <w:jc w:val="left"/>
        <w:rPr>
          <w:position w:val="-4"/>
          <w:sz w:val="31"/>
        </w:rPr>
      </w:pPr>
      <w:r>
        <w:rPr>
          <w:w w:val="105"/>
          <w:sz w:val="18"/>
        </w:rPr>
        <w:t>Mentored two research associates through onboarding on flow cytometry and single-cell library prep.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98" w:after="0"/>
        <w:ind w:left="523" w:right="759" w:hanging="298"/>
        <w:jc w:val="left"/>
        <w:rPr>
          <w:position w:val="-4"/>
          <w:sz w:val="31"/>
        </w:rPr>
      </w:pPr>
      <w:r>
        <w:rPr>
          <w:w w:val="105"/>
          <w:sz w:val="18"/>
        </w:rPr>
        <w:t>Represented the team in cross-functional target review meetings with chemistry and translational sciences.</w:t>
      </w:r>
    </w:p>
    <w:p>
      <w:pPr>
        <w:pStyle w:val="BodyText"/>
        <w:spacing w:before="136"/>
      </w:pPr>
    </w:p>
    <w:p>
      <w:pPr>
        <w:pStyle w:val="BodyText"/>
        <w:spacing w:line="268" w:lineRule="auto"/>
        <w:ind w:left="58" w:right="395"/>
      </w:pPr>
      <w:r>
        <w:rPr>
          <w:w w:val="105"/>
        </w:rPr>
        <w:t>Postdoctoral Research Fellow </w:t>
      </w:r>
      <w:r>
        <w:rPr>
          <w:w w:val="105"/>
          <w:position w:val="2"/>
        </w:rPr>
        <w:t>| </w:t>
      </w:r>
      <w:r>
        <w:rPr>
          <w:w w:val="105"/>
        </w:rPr>
        <w:t>Whitfield Lab, Boston University, Boston, MA 2018 – 2021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425" w:right="283"/>
          <w:cols w:num="2" w:equalWidth="0">
            <w:col w:w="3194" w:space="749"/>
            <w:col w:w="7269"/>
          </w:cols>
        </w:sectPr>
      </w:pPr>
    </w:p>
    <w:p>
      <w:pPr>
        <w:pStyle w:val="BodyText"/>
        <w:spacing w:before="2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61924" y="9372599"/>
                            <a:ext cx="2266950" cy="133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1333500">
                                <a:moveTo>
                                  <a:pt x="0" y="1333499"/>
                                </a:moveTo>
                                <a:lnTo>
                                  <a:pt x="2266949" y="1333499"/>
                                </a:lnTo>
                                <a:lnTo>
                                  <a:pt x="22669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33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19350">
                                <a:moveTo>
                                  <a:pt x="7568183" y="2419349"/>
                                </a:moveTo>
                                <a:lnTo>
                                  <a:pt x="0" y="2419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19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1912" y="2419349"/>
                            <a:ext cx="2266950" cy="695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6953250">
                                <a:moveTo>
                                  <a:pt x="2266950" y="3800475"/>
                                </a:moveTo>
                                <a:lnTo>
                                  <a:pt x="0" y="3800475"/>
                                </a:lnTo>
                                <a:lnTo>
                                  <a:pt x="0" y="6953250"/>
                                </a:lnTo>
                                <a:lnTo>
                                  <a:pt x="2266950" y="6953250"/>
                                </a:lnTo>
                                <a:lnTo>
                                  <a:pt x="2266950" y="3800475"/>
                                </a:lnTo>
                                <a:close/>
                              </a:path>
                              <a:path w="2266950" h="6953250">
                                <a:moveTo>
                                  <a:pt x="2266950" y="2400300"/>
                                </a:moveTo>
                                <a:lnTo>
                                  <a:pt x="0" y="2400300"/>
                                </a:lnTo>
                                <a:lnTo>
                                  <a:pt x="0" y="3429000"/>
                                </a:lnTo>
                                <a:lnTo>
                                  <a:pt x="2266950" y="3429000"/>
                                </a:lnTo>
                                <a:lnTo>
                                  <a:pt x="2266950" y="2400300"/>
                                </a:lnTo>
                                <a:close/>
                              </a:path>
                              <a:path w="2266950" h="6953250">
                                <a:moveTo>
                                  <a:pt x="2266950" y="771525"/>
                                </a:moveTo>
                                <a:lnTo>
                                  <a:pt x="0" y="771525"/>
                                </a:lnTo>
                                <a:lnTo>
                                  <a:pt x="0" y="2028825"/>
                                </a:lnTo>
                                <a:lnTo>
                                  <a:pt x="2266950" y="2028825"/>
                                </a:lnTo>
                                <a:lnTo>
                                  <a:pt x="2266950" y="771525"/>
                                </a:lnTo>
                                <a:close/>
                              </a:path>
                              <a:path w="2266950" h="6953250">
                                <a:moveTo>
                                  <a:pt x="2266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050"/>
                                </a:lnTo>
                                <a:lnTo>
                                  <a:pt x="2266950" y="400050"/>
                                </a:lnTo>
                                <a:lnTo>
                                  <a:pt x="2266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819399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3188207"/>
                            <a:ext cx="124967" cy="2529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3324224"/>
                            <a:ext cx="161924" cy="161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3695699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13" y="4086224"/>
                            <a:ext cx="161911" cy="166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4448174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4815839"/>
                            <a:ext cx="124967" cy="256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5848349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6214871"/>
                            <a:ext cx="124967" cy="2560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0864" id="docshapegroup1" coordorigin="0,0" coordsize="11919,16860">
                <v:rect style="position:absolute;left:255;top:14760;width:3570;height:2100" id="docshape2" filled="true" fillcolor="#45818f" stroked="false">
                  <v:fill opacity="32899f" type="solid"/>
                </v:rect>
                <v:rect style="position:absolute;left:0;top:0;width:11919;height:3810" id="docshape3" filled="true" fillcolor="#424242" stroked="false">
                  <v:fill type="solid"/>
                </v:rect>
                <v:shape style="position:absolute;left:254;top:3810;width:3570;height:10950" id="docshape4" coordorigin="255,3810" coordsize="3570,10950" path="m3825,9795l255,9795,255,14760,3825,14760,3825,9795xm3825,7590l255,7590,255,9210,3825,9210,3825,7590xm3825,5025l255,5025,255,7005,3825,7005,3825,5025xm3825,3810l255,3810,255,4440,3825,4440,3825,3810xe" filled="true" fillcolor="#45818f" stroked="false">
                  <v:path arrowok="t"/>
                  <v:fill opacity="32899f" type="solid"/>
                </v:shape>
                <v:rect style="position:absolute;left:0;top:4440;width:4020;height:585" id="docshape5" filled="true" fillcolor="#45818f" stroked="false">
                  <v:fill type="solid"/>
                </v:rect>
                <v:shape style="position:absolute;left:3825;top:5020;width:197;height:399" type="#_x0000_t75" id="docshape6" stroked="false">
                  <v:imagedata r:id="rId6" o:title=""/>
                </v:shape>
                <v:shape style="position:absolute;left:600;top:5235;width:255;height:255" type="#_x0000_t75" id="docshape7" stroked="false">
                  <v:imagedata r:id="rId7" o:title=""/>
                </v:shape>
                <v:shape style="position:absolute;left:600;top:5820;width:255;height:300" type="#_x0000_t75" id="docshape8" stroked="false">
                  <v:imagedata r:id="rId8" o:title=""/>
                </v:shape>
                <v:shape style="position:absolute;left:600;top:6435;width:255;height:263" type="#_x0000_t75" id="docshape9" stroked="false">
                  <v:imagedata r:id="rId9" o:title=""/>
                </v:shape>
                <v:rect style="position:absolute;left:0;top:7005;width:4020;height:585" id="docshape10" filled="true" fillcolor="#45818f" stroked="false">
                  <v:fill type="solid"/>
                </v:rect>
                <v:shape style="position:absolute;left:3825;top:7584;width:197;height:404" type="#_x0000_t75" id="docshape11" stroked="false">
                  <v:imagedata r:id="rId10" o:title=""/>
                </v:shape>
                <v:rect style="position:absolute;left:0;top:9210;width:4020;height:585" id="docshape12" filled="true" fillcolor="#45818f" stroked="false">
                  <v:fill type="solid"/>
                </v:rect>
                <v:shape style="position:absolute;left:3825;top:9787;width:197;height:404" type="#_x0000_t75" id="docshape13" stroked="false">
                  <v:imagedata r:id="rId11" o:title=""/>
                </v:shape>
                <w10:wrap type="none"/>
              </v:group>
            </w:pict>
          </mc:Fallback>
        </mc:AlternateContent>
      </w:r>
    </w:p>
    <w:p>
      <w:pPr>
        <w:pStyle w:val="Heading1"/>
        <w:spacing w:before="1"/>
      </w:pPr>
      <w:r>
        <w:rPr>
          <w:smallCaps/>
          <w:color w:val="F5F5F5"/>
        </w:rPr>
        <w:t>Key</w:t>
      </w:r>
      <w:r>
        <w:rPr>
          <w:smallCaps/>
          <w:color w:val="F5F5F5"/>
          <w:spacing w:val="-12"/>
        </w:rPr>
        <w:t> </w:t>
      </w:r>
      <w:r>
        <w:rPr>
          <w:smallCaps/>
          <w:color w:val="F5F5F5"/>
          <w:spacing w:val="-2"/>
        </w:rPr>
        <w:t>Skills</w:t>
      </w:r>
    </w:p>
    <w:p>
      <w:pPr>
        <w:pStyle w:val="BodyText"/>
        <w:spacing w:before="105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0" w:after="0"/>
        <w:ind w:left="467" w:right="536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Mammalian cell culture (suspension and adherent)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99" w:after="0"/>
        <w:ind w:left="467" w:right="567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Genome-editing screening (arrayed and pooled)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114" w:after="0"/>
        <w:ind w:left="467" w:right="209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Flow cytometry and cell sorting (FACSymphony, Sony MA900)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100" w:after="0"/>
        <w:ind w:left="467" w:right="0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Sequencing library prep (bulk and single-cell 10x)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99" w:after="0"/>
        <w:ind w:left="467" w:right="536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Bioinformatics (R, Python, Nextflow, Seurat, DESeq2)</w:t>
      </w:r>
    </w:p>
    <w:p>
      <w:pPr>
        <w:pStyle w:val="ListParagraph"/>
        <w:numPr>
          <w:ilvl w:val="0"/>
          <w:numId w:val="1"/>
        </w:numPr>
        <w:tabs>
          <w:tab w:pos="466" w:val="left" w:leader="none"/>
        </w:tabs>
        <w:spacing w:line="328" w:lineRule="exact" w:before="44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Confocal</w:t>
      </w:r>
      <w:r>
        <w:rPr>
          <w:color w:val="424242"/>
          <w:spacing w:val="18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18"/>
          <w:w w:val="105"/>
          <w:sz w:val="16"/>
        </w:rPr>
        <w:t> </w:t>
      </w:r>
      <w:r>
        <w:rPr>
          <w:color w:val="424242"/>
          <w:w w:val="105"/>
          <w:sz w:val="16"/>
        </w:rPr>
        <w:t>live-cell</w:t>
      </w:r>
      <w:r>
        <w:rPr>
          <w:color w:val="424242"/>
          <w:spacing w:val="18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imaging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27" w:after="0"/>
        <w:ind w:left="467" w:right="319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Immunoassays, Western blot, </w:t>
      </w:r>
      <w:r>
        <w:rPr>
          <w:color w:val="424242"/>
          <w:spacing w:val="-4"/>
          <w:w w:val="105"/>
          <w:sz w:val="16"/>
        </w:rPr>
        <w:t>qPCR</w:t>
      </w:r>
    </w:p>
    <w:p>
      <w:pPr>
        <w:pStyle w:val="ListParagraph"/>
        <w:numPr>
          <w:ilvl w:val="0"/>
          <w:numId w:val="1"/>
        </w:numPr>
        <w:tabs>
          <w:tab w:pos="466" w:val="left" w:leader="none"/>
        </w:tabs>
        <w:spacing w:line="328" w:lineRule="exact" w:before="59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Scientific</w:t>
      </w:r>
      <w:r>
        <w:rPr>
          <w:color w:val="424242"/>
          <w:spacing w:val="16"/>
          <w:w w:val="105"/>
          <w:sz w:val="16"/>
        </w:rPr>
        <w:t> </w:t>
      </w:r>
      <w:r>
        <w:rPr>
          <w:color w:val="424242"/>
          <w:w w:val="105"/>
          <w:sz w:val="16"/>
        </w:rPr>
        <w:t>writing</w:t>
      </w:r>
      <w:r>
        <w:rPr>
          <w:color w:val="424242"/>
          <w:spacing w:val="17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16"/>
          <w:w w:val="105"/>
          <w:sz w:val="16"/>
        </w:rPr>
        <w:t> </w:t>
      </w:r>
      <w:r>
        <w:rPr>
          <w:color w:val="424242"/>
          <w:w w:val="105"/>
          <w:sz w:val="16"/>
        </w:rPr>
        <w:t>peer</w:t>
      </w:r>
      <w:r>
        <w:rPr>
          <w:color w:val="424242"/>
          <w:spacing w:val="17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review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27" w:after="0"/>
        <w:ind w:left="467" w:right="670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Electronic lab notebooks (Benchling, LabArchives)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4" w:lineRule="auto" w:before="91" w:after="0"/>
        <w:ind w:left="355" w:right="130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Investigated non-coding transcript regulation of hematopoietic stem cell fate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single-cell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sequencing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lineage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tracing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mouse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models.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07" w:after="0"/>
        <w:ind w:left="355" w:right="286" w:hanging="298"/>
        <w:jc w:val="left"/>
        <w:rPr>
          <w:position w:val="-4"/>
          <w:sz w:val="31"/>
        </w:rPr>
      </w:pPr>
      <w:r>
        <w:rPr>
          <w:w w:val="105"/>
          <w:sz w:val="18"/>
        </w:rPr>
        <w:t>First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author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paper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Cell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Reports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(2020)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describing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novel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long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non-coding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transcript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transcription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factor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axis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erythroid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differentiation.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98" w:after="0"/>
        <w:ind w:left="355" w:right="183" w:hanging="298"/>
        <w:jc w:val="left"/>
        <w:rPr>
          <w:position w:val="-4"/>
          <w:sz w:val="31"/>
        </w:rPr>
      </w:pPr>
      <w:r>
        <w:rPr>
          <w:w w:val="105"/>
          <w:sz w:val="18"/>
        </w:rPr>
        <w:t>Presented at a national hematology society annual meeting and two Gordon Research Conferences.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82" w:after="0"/>
        <w:ind w:left="355" w:right="379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 sections of a successful R01 renewal, contributing preliminary data and a specific aim.</w:t>
      </w:r>
    </w:p>
    <w:sectPr>
      <w:type w:val="continuous"/>
      <w:pgSz w:w="11920" w:h="16860"/>
      <w:pgMar w:top="820" w:bottom="280" w:left="425" w:right="283"/>
      <w:cols w:num="2" w:equalWidth="0">
        <w:col w:w="3078" w:space="1033"/>
        <w:col w:w="710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23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94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6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4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1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9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6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4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1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48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7"/>
      <w:ind w:left="46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aswamy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2026-09-21T11:46:09Z</dcterms:created>
  <dcterms:modified xsi:type="dcterms:W3CDTF">2026-09-21T11:46:09Z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