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070707"/>
        </w:rPr>
        <w:t>Betty</w:t>
      </w:r>
      <w:r>
        <w:rPr>
          <w:color w:val="070707"/>
          <w:spacing w:val="-20"/>
        </w:rPr>
        <w:t> </w:t>
      </w:r>
      <w:r>
        <w:rPr>
          <w:color w:val="070707"/>
          <w:spacing w:val="-2"/>
        </w:rPr>
        <w:t>Harris</w:t>
      </w:r>
    </w:p>
    <w:p>
      <w:pPr>
        <w:pStyle w:val="Heading2"/>
      </w:pPr>
      <w:r>
        <w:rPr>
          <w:color w:val="070707"/>
        </w:rPr>
        <w:t>Cyber</w:t>
      </w:r>
      <w:r>
        <w:rPr>
          <w:color w:val="070707"/>
          <w:spacing w:val="6"/>
        </w:rPr>
        <w:t> </w:t>
      </w:r>
      <w:r>
        <w:rPr>
          <w:color w:val="070707"/>
        </w:rPr>
        <w:t>Security</w:t>
      </w:r>
      <w:r>
        <w:rPr>
          <w:color w:val="070707"/>
          <w:spacing w:val="7"/>
        </w:rPr>
        <w:t> </w:t>
      </w:r>
      <w:r>
        <w:rPr>
          <w:color w:val="070707"/>
          <w:spacing w:val="-2"/>
        </w:rPr>
        <w:t>Analyst</w:t>
      </w:r>
    </w:p>
    <w:p>
      <w:pPr>
        <w:pStyle w:val="BodyText"/>
        <w:spacing w:before="209"/>
        <w:ind w:left="22"/>
        <w:jc w:val="center"/>
      </w:pPr>
      <w:r>
        <w:rPr>
          <w:w w:val="105"/>
        </w:rPr>
        <w:t>Raleigh,</w:t>
      </w:r>
      <w:r>
        <w:rPr>
          <w:spacing w:val="-7"/>
          <w:w w:val="105"/>
        </w:rPr>
        <w:t> </w:t>
      </w:r>
      <w:r>
        <w:rPr>
          <w:w w:val="105"/>
        </w:rPr>
        <w:t>NC</w:t>
      </w:r>
      <w:r>
        <w:rPr>
          <w:spacing w:val="-7"/>
          <w:w w:val="105"/>
        </w:rPr>
        <w:t> </w:t>
      </w:r>
      <w:r>
        <w:rPr>
          <w:w w:val="105"/>
        </w:rPr>
        <w:t>12345</w:t>
      </w:r>
      <w:r>
        <w:rPr>
          <w:spacing w:val="17"/>
          <w:w w:val="105"/>
        </w:rPr>
        <w:t> </w:t>
      </w:r>
      <w:r>
        <w:rPr>
          <w:w w:val="105"/>
        </w:rPr>
        <w:t>|</w:t>
      </w:r>
      <w:r>
        <w:rPr>
          <w:spacing w:val="17"/>
          <w:w w:val="105"/>
        </w:rPr>
        <w:t> </w:t>
      </w:r>
      <w:r>
        <w:rPr>
          <w:w w:val="105"/>
        </w:rPr>
        <w:t>(919)</w:t>
      </w:r>
      <w:r>
        <w:rPr>
          <w:spacing w:val="-7"/>
          <w:w w:val="105"/>
        </w:rPr>
        <w:t> </w:t>
      </w:r>
      <w:r>
        <w:rPr>
          <w:w w:val="105"/>
        </w:rPr>
        <w:t>555-0101</w:t>
      </w:r>
      <w:r>
        <w:rPr>
          <w:spacing w:val="17"/>
          <w:w w:val="105"/>
        </w:rPr>
        <w:t> </w:t>
      </w:r>
      <w:r>
        <w:rPr>
          <w:w w:val="105"/>
        </w:rPr>
        <w:t>|</w:t>
      </w:r>
      <w:r>
        <w:rPr>
          <w:spacing w:val="16"/>
          <w:w w:val="105"/>
        </w:rPr>
        <w:t> </w:t>
      </w:r>
      <w:hyperlink r:id="rId5">
        <w:r>
          <w:rPr>
            <w:spacing w:val="-2"/>
            <w:w w:val="105"/>
          </w:rPr>
          <w:t>priya.ramaswamy@example.com</w:t>
        </w:r>
      </w:hyperlink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571499</wp:posOffset>
                </wp:positionH>
                <wp:positionV relativeFrom="paragraph">
                  <wp:posOffset>73694</wp:posOffset>
                </wp:positionV>
                <wp:extent cx="644842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4484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9525">
                              <a:moveTo>
                                <a:pt x="64484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48424" y="0"/>
                              </a:lnTo>
                              <a:lnTo>
                                <a:pt x="64484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999996pt;margin-top:5.802729pt;width:507.74996pt;height:.75pt;mso-position-horizontal-relative:page;mso-position-vertical-relative:paragraph;z-index:-15728640;mso-wrap-distance-left:0;mso-wrap-distance-right:0" id="docshape1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pStyle w:val="BodyText"/>
        <w:spacing w:line="292" w:lineRule="auto" w:before="165"/>
        <w:ind w:left="892" w:right="1100"/>
        <w:jc w:val="both"/>
      </w:pPr>
      <w:r>
        <w:rPr>
          <w:w w:val="105"/>
        </w:rPr>
        <w:t>Cybersecurity analyst with 5 years in 24/7 security operations across ﬁntech and healthcare. Strong in Splunk detection engineering, endpoint alert triage on CrowdStrike and SentinelOne, and phishing response. Comfortable working incidents end-to-end and writing the postmortem that keeps them from repeating.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pStyle w:val="BodyText"/>
        <w:ind w:left="70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-399608</wp:posOffset>
                </wp:positionV>
                <wp:extent cx="7568565" cy="29527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295275"/>
                          <a:chExt cx="7568565" cy="2952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95275">
                                <a:moveTo>
                                  <a:pt x="7568183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3399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56856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7"/>
                                <w:ind w:left="74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70707"/>
                                  <w:sz w:val="20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070707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70707"/>
                                  <w:spacing w:val="-2"/>
                                  <w:sz w:val="20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1.465219pt;width:595.950pt;height:23.25pt;mso-position-horizontal-relative:page;mso-position-vertical-relative:paragraph;z-index:15729152" id="docshapegroup2" coordorigin="0,-629" coordsize="11919,465">
                <v:rect style="position:absolute;left:0;top:-630;width:11919;height:465" id="docshape3" filled="true" fillcolor="#8b3399" stroked="false">
                  <v:fill opacity="13107f"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-630;width:11919;height:465" type="#_x0000_t202" id="docshape4" filled="false" stroked="false">
                  <v:textbox inset="0,0,0,0">
                    <w:txbxContent>
                      <w:p>
                        <w:pPr>
                          <w:spacing w:before="97"/>
                          <w:ind w:left="74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70707"/>
                            <w:sz w:val="20"/>
                          </w:rPr>
                          <w:t>Professional</w:t>
                        </w:r>
                        <w:r>
                          <w:rPr>
                            <w:b/>
                            <w:color w:val="070707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70707"/>
                            <w:spacing w:val="-2"/>
                            <w:sz w:val="20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CYBERSECURITY</w:t>
      </w:r>
      <w:r>
        <w:rPr>
          <w:spacing w:val="-3"/>
        </w:rPr>
        <w:t> </w:t>
      </w:r>
      <w:r>
        <w:rPr/>
        <w:t>ANALYST</w:t>
      </w:r>
      <w:r>
        <w:rPr>
          <w:spacing w:val="-2"/>
        </w:rPr>
        <w:t> </w:t>
      </w:r>
      <w:r>
        <w:rPr/>
        <w:t>II</w:t>
      </w:r>
      <w:r>
        <w:rPr>
          <w:spacing w:val="23"/>
        </w:rPr>
        <w:t> </w:t>
      </w:r>
      <w:r>
        <w:rPr/>
        <w:t>|</w:t>
      </w:r>
      <w:r>
        <w:rPr>
          <w:spacing w:val="22"/>
        </w:rPr>
        <w:t> </w:t>
      </w:r>
      <w:r>
        <w:rPr/>
        <w:t>MERIDIAN</w:t>
      </w:r>
      <w:r>
        <w:rPr>
          <w:spacing w:val="-2"/>
        </w:rPr>
        <w:t> </w:t>
      </w:r>
      <w:r>
        <w:rPr/>
        <w:t>FINANCIAL</w:t>
      </w:r>
      <w:r>
        <w:rPr>
          <w:spacing w:val="-2"/>
        </w:rPr>
        <w:t> </w:t>
      </w:r>
      <w:r>
        <w:rPr/>
        <w:t>TRUST,</w:t>
      </w:r>
      <w:r>
        <w:rPr>
          <w:spacing w:val="-2"/>
        </w:rPr>
        <w:t> </w:t>
      </w:r>
      <w:r>
        <w:rPr/>
        <w:t>RALEIGH,</w:t>
      </w:r>
      <w:r>
        <w:rPr>
          <w:spacing w:val="-2"/>
        </w:rPr>
        <w:t> </w:t>
      </w:r>
      <w:r>
        <w:rPr/>
        <w:t>NC</w:t>
      </w:r>
      <w:r>
        <w:rPr>
          <w:spacing w:val="23"/>
        </w:rPr>
        <w:t> </w:t>
      </w:r>
      <w:r>
        <w:rPr/>
        <w:t>|</w:t>
      </w:r>
      <w:r>
        <w:rPr>
          <w:spacing w:val="22"/>
        </w:rPr>
        <w:t> </w:t>
      </w:r>
      <w:r>
        <w:rPr/>
        <w:t>2022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PRESENT</w:t>
      </w:r>
    </w:p>
    <w:p>
      <w:pPr>
        <w:pStyle w:val="BodyText"/>
        <w:spacing w:before="58"/>
      </w:pPr>
    </w:p>
    <w:p>
      <w:pPr>
        <w:pStyle w:val="ListParagraph"/>
        <w:numPr>
          <w:ilvl w:val="0"/>
          <w:numId w:val="1"/>
        </w:numPr>
        <w:tabs>
          <w:tab w:pos="1169" w:val="left" w:leader="none"/>
          <w:tab w:pos="1171" w:val="left" w:leader="none"/>
        </w:tabs>
        <w:spacing w:line="196" w:lineRule="auto" w:before="0" w:after="0"/>
        <w:ind w:left="1171" w:right="787" w:hanging="298"/>
        <w:jc w:val="left"/>
        <w:rPr>
          <w:position w:val="-5"/>
          <w:sz w:val="31"/>
        </w:rPr>
      </w:pPr>
      <w:r>
        <w:rPr>
          <w:w w:val="105"/>
          <w:sz w:val="16"/>
        </w:rPr>
        <w:t>Own escalated alerts from the Tier 1 queue: business email compromise attempts, suspicious OAuth grants, and endpoint detections routed out of CrowdStrike Falcon.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  <w:tab w:pos="1171" w:val="left" w:leader="none"/>
        </w:tabs>
        <w:spacing w:line="208" w:lineRule="auto" w:before="85" w:after="0"/>
        <w:ind w:left="1171" w:right="599" w:hanging="298"/>
        <w:jc w:val="left"/>
        <w:rPr>
          <w:position w:val="-5"/>
          <w:sz w:val="31"/>
        </w:rPr>
      </w:pPr>
      <w:r>
        <w:rPr>
          <w:w w:val="105"/>
          <w:sz w:val="16"/>
        </w:rPr>
        <w:t>Rewrote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noisy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Splunk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correlation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rules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were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generating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~600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false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positives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week,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cutting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alert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volume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roughly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40%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without missing a conﬁrmed incident in the following two quarters.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  <w:tab w:pos="1171" w:val="left" w:leader="none"/>
        </w:tabs>
        <w:spacing w:line="196" w:lineRule="auto" w:before="97" w:after="0"/>
        <w:ind w:left="1171" w:right="594" w:hanging="298"/>
        <w:jc w:val="left"/>
        <w:rPr>
          <w:position w:val="-5"/>
          <w:sz w:val="31"/>
        </w:rPr>
      </w:pPr>
      <w:r>
        <w:rPr>
          <w:w w:val="105"/>
          <w:sz w:val="16"/>
        </w:rPr>
        <w:t>Led the response on a credential-stufﬁng burst against the customer portal; blocked source ASNs at the web application ﬁrewall, forced password resets on 2,300 accounts, and drafted the customer notiﬁcation with legal.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240" w:lineRule="auto" w:before="55" w:after="0"/>
        <w:ind w:left="1169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Author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phishing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playbook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SOC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now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uses,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Sentinel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hunt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template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OAuth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consent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phishing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-4"/>
          <w:w w:val="105"/>
          <w:sz w:val="16"/>
        </w:rPr>
        <w:t> 365.</w:t>
      </w:r>
    </w:p>
    <w:p>
      <w:pPr>
        <w:pStyle w:val="BodyText"/>
        <w:spacing w:before="174"/>
        <w:ind w:left="706"/>
      </w:pPr>
      <w:r>
        <w:rPr/>
        <w:t>SOC</w:t>
      </w:r>
      <w:r>
        <w:rPr>
          <w:spacing w:val="-3"/>
        </w:rPr>
        <w:t> </w:t>
      </w:r>
      <w:r>
        <w:rPr/>
        <w:t>ANALYST</w:t>
      </w:r>
      <w:r>
        <w:rPr>
          <w:spacing w:val="23"/>
        </w:rPr>
        <w:t> </w:t>
      </w:r>
      <w:r>
        <w:rPr/>
        <w:t>|</w:t>
      </w:r>
      <w:r>
        <w:rPr>
          <w:spacing w:val="22"/>
        </w:rPr>
        <w:t> </w:t>
      </w:r>
      <w:r>
        <w:rPr/>
        <w:t>KETTLEWOOD</w:t>
      </w:r>
      <w:r>
        <w:rPr>
          <w:spacing w:val="-2"/>
        </w:rPr>
        <w:t> </w:t>
      </w:r>
      <w:r>
        <w:rPr/>
        <w:t>HEALTH</w:t>
      </w:r>
      <w:r>
        <w:rPr>
          <w:spacing w:val="-2"/>
        </w:rPr>
        <w:t> </w:t>
      </w:r>
      <w:r>
        <w:rPr/>
        <w:t>SYSTEMS,</w:t>
      </w:r>
      <w:r>
        <w:rPr>
          <w:spacing w:val="-2"/>
        </w:rPr>
        <w:t> </w:t>
      </w:r>
      <w:r>
        <w:rPr/>
        <w:t>DURHAM,</w:t>
      </w:r>
      <w:r>
        <w:rPr>
          <w:spacing w:val="-3"/>
        </w:rPr>
        <w:t> </w:t>
      </w:r>
      <w:r>
        <w:rPr/>
        <w:t>NC</w:t>
      </w:r>
      <w:r>
        <w:rPr>
          <w:spacing w:val="23"/>
        </w:rPr>
        <w:t> </w:t>
      </w:r>
      <w:r>
        <w:rPr/>
        <w:t>|</w:t>
      </w:r>
      <w:r>
        <w:rPr>
          <w:spacing w:val="22"/>
        </w:rPr>
        <w:t> </w:t>
      </w:r>
      <w:r>
        <w:rPr/>
        <w:t>2020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>
          <w:spacing w:val="-4"/>
        </w:rPr>
        <w:t>2022</w:t>
      </w:r>
    </w:p>
    <w:p>
      <w:pPr>
        <w:pStyle w:val="BodyText"/>
        <w:spacing w:before="58"/>
      </w:pPr>
    </w:p>
    <w:p>
      <w:pPr>
        <w:pStyle w:val="ListParagraph"/>
        <w:numPr>
          <w:ilvl w:val="0"/>
          <w:numId w:val="1"/>
        </w:numPr>
        <w:tabs>
          <w:tab w:pos="1169" w:val="left" w:leader="none"/>
          <w:tab w:pos="1171" w:val="left" w:leader="none"/>
        </w:tabs>
        <w:spacing w:line="204" w:lineRule="auto" w:before="0" w:after="0"/>
        <w:ind w:left="1171" w:right="516" w:hanging="298"/>
        <w:jc w:val="left"/>
        <w:rPr>
          <w:position w:val="-4"/>
          <w:sz w:val="31"/>
        </w:rPr>
      </w:pPr>
      <w:r>
        <w:rPr>
          <w:w w:val="105"/>
          <w:sz w:val="16"/>
        </w:rPr>
        <w:t>Triaged 40-60 alerts per shift out of Microsoft Sentinel, focusing on lateral movement patterns and unusual service account activity on the EHR network.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  <w:tab w:pos="1171" w:val="left" w:leader="none"/>
        </w:tabs>
        <w:spacing w:line="196" w:lineRule="auto" w:before="96" w:after="0"/>
        <w:ind w:left="1171" w:right="505" w:hanging="298"/>
        <w:jc w:val="left"/>
        <w:rPr>
          <w:position w:val="-5"/>
          <w:sz w:val="31"/>
        </w:rPr>
      </w:pPr>
      <w:r>
        <w:rPr>
          <w:w w:val="105"/>
          <w:sz w:val="16"/>
        </w:rPr>
        <w:t>Escalated the ﬁrst sign of a ransomware precursor (Cobalt Strike beacon on a radiology workstation) to the incident response team within 12 minutes; host was isolated before encryption.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43" w:lineRule="exact" w:before="55" w:after="0"/>
        <w:ind w:left="1169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Built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dashboards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security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chief's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report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mean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acknowledge,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mean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contain,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top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alert</w:t>
      </w:r>
      <w:r>
        <w:rPr>
          <w:spacing w:val="-2"/>
          <w:w w:val="105"/>
          <w:sz w:val="16"/>
        </w:rPr>
        <w:t> sources.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43" w:lineRule="exact" w:before="0" w:after="0"/>
        <w:ind w:left="1169" w:right="0" w:hanging="296"/>
        <w:jc w:val="left"/>
        <w:rPr>
          <w:position w:val="-5"/>
          <w:sz w:val="31"/>
        </w:rPr>
      </w:pPr>
      <w:r>
        <w:rPr>
          <w:position w:val="-5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338426</wp:posOffset>
                </wp:positionV>
                <wp:extent cx="7568565" cy="29527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295275"/>
                          <a:chExt cx="7568565" cy="2952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95275">
                                <a:moveTo>
                                  <a:pt x="7568183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3399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756856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7"/>
                                <w:ind w:left="74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70707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6.647732pt;width:595.950pt;height:23.25pt;mso-position-horizontal-relative:page;mso-position-vertical-relative:paragraph;z-index:15729664" id="docshapegroup5" coordorigin="0,533" coordsize="11919,465">
                <v:rect style="position:absolute;left:0;top:532;width:11919;height:465" id="docshape6" filled="true" fillcolor="#8b3399" stroked="false">
                  <v:fill opacity="13107f" type="solid"/>
                </v:rect>
                <v:shape style="position:absolute;left:0;top:532;width:11919;height:465" type="#_x0000_t202" id="docshape7" filled="false" stroked="false">
                  <v:textbox inset="0,0,0,0">
                    <w:txbxContent>
                      <w:p>
                        <w:pPr>
                          <w:spacing w:before="97"/>
                          <w:ind w:left="74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70707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Ran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tabletop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exercises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help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desk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phishing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escalation</w:t>
      </w:r>
      <w:r>
        <w:rPr>
          <w:spacing w:val="-3"/>
          <w:w w:val="105"/>
          <w:sz w:val="16"/>
        </w:rPr>
        <w:t> </w:t>
      </w:r>
      <w:r>
        <w:rPr>
          <w:spacing w:val="-2"/>
          <w:w w:val="105"/>
          <w:sz w:val="16"/>
        </w:rPr>
        <w:t>paths.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ind w:left="706"/>
      </w:pPr>
      <w:r>
        <w:rPr>
          <w:spacing w:val="-2"/>
          <w:w w:val="105"/>
        </w:rPr>
        <w:t>B.S.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Information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Systems,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North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Carolina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97"/>
      </w:pPr>
    </w:p>
    <w:p>
      <w:pPr>
        <w:pStyle w:val="BodyText"/>
        <w:ind w:left="706"/>
      </w:pPr>
      <w:r>
        <w:rPr>
          <w:w w:val="105"/>
        </w:rPr>
        <w:t>CompTIA</w:t>
      </w:r>
      <w:r>
        <w:rPr>
          <w:spacing w:val="-12"/>
          <w:w w:val="105"/>
        </w:rPr>
        <w:t> </w:t>
      </w:r>
      <w:r>
        <w:rPr>
          <w:w w:val="105"/>
        </w:rPr>
        <w:t>Security+</w:t>
      </w:r>
      <w:r>
        <w:rPr>
          <w:spacing w:val="-11"/>
          <w:w w:val="105"/>
        </w:rPr>
        <w:t> </w:t>
      </w:r>
      <w:r>
        <w:rPr>
          <w:w w:val="105"/>
        </w:rPr>
        <w:t>(2020),</w:t>
      </w:r>
      <w:r>
        <w:rPr>
          <w:spacing w:val="-12"/>
          <w:w w:val="105"/>
        </w:rPr>
        <w:t> </w:t>
      </w:r>
      <w:r>
        <w:rPr>
          <w:w w:val="105"/>
        </w:rPr>
        <w:t>CompTIA</w:t>
      </w:r>
      <w:r>
        <w:rPr>
          <w:spacing w:val="-11"/>
          <w:w w:val="105"/>
        </w:rPr>
        <w:t> </w:t>
      </w:r>
      <w:r>
        <w:rPr>
          <w:w w:val="105"/>
        </w:rPr>
        <w:t>CySA+</w:t>
      </w:r>
      <w:r>
        <w:rPr>
          <w:spacing w:val="-11"/>
          <w:w w:val="105"/>
        </w:rPr>
        <w:t> </w:t>
      </w:r>
      <w:r>
        <w:rPr>
          <w:w w:val="105"/>
        </w:rPr>
        <w:t>(2022),</w:t>
      </w:r>
      <w:r>
        <w:rPr>
          <w:spacing w:val="-12"/>
          <w:w w:val="105"/>
        </w:rPr>
        <w:t> </w:t>
      </w:r>
      <w:r>
        <w:rPr>
          <w:w w:val="105"/>
        </w:rPr>
        <w:t>GIAC</w:t>
      </w:r>
      <w:r>
        <w:rPr>
          <w:spacing w:val="-11"/>
          <w:w w:val="105"/>
        </w:rPr>
        <w:t> </w:t>
      </w:r>
      <w:r>
        <w:rPr>
          <w:w w:val="105"/>
        </w:rPr>
        <w:t>Security</w:t>
      </w:r>
      <w:r>
        <w:rPr>
          <w:spacing w:val="-11"/>
          <w:w w:val="105"/>
        </w:rPr>
        <w:t> </w:t>
      </w:r>
      <w:r>
        <w:rPr>
          <w:w w:val="105"/>
        </w:rPr>
        <w:t>Essentials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(2023)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00" w:bottom="280" w:left="0" w:right="0"/>
        </w:sectPr>
      </w:pP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43" w:lineRule="exact" w:before="96" w:after="0"/>
        <w:ind w:left="1002" w:right="0" w:hanging="296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-287726</wp:posOffset>
                </wp:positionV>
                <wp:extent cx="7568565" cy="29527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568565" cy="295275"/>
                          <a:chExt cx="7568565" cy="2952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5685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95275">
                                <a:moveTo>
                                  <a:pt x="7568183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3399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756856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7"/>
                                <w:ind w:left="74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70707"/>
                                  <w:sz w:val="20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070707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70707"/>
                                  <w:spacing w:val="-2"/>
                                  <w:sz w:val="20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22.655622pt;width:595.950pt;height:23.25pt;mso-position-horizontal-relative:page;mso-position-vertical-relative:paragraph;z-index:15730176" id="docshapegroup8" coordorigin="0,-453" coordsize="11919,465">
                <v:rect style="position:absolute;left:0;top:-454;width:11919;height:465" id="docshape9" filled="true" fillcolor="#8b3399" stroked="false">
                  <v:fill opacity="13107f" type="solid"/>
                </v:rect>
                <v:shape style="position:absolute;left:0;top:-454;width:11919;height:465" type="#_x0000_t202" id="docshape10" filled="false" stroked="false">
                  <v:textbox inset="0,0,0,0">
                    <w:txbxContent>
                      <w:p>
                        <w:pPr>
                          <w:spacing w:before="97"/>
                          <w:ind w:left="74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70707"/>
                            <w:sz w:val="20"/>
                          </w:rPr>
                          <w:t>Key</w:t>
                        </w:r>
                        <w:r>
                          <w:rPr>
                            <w:b/>
                            <w:color w:val="070707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70707"/>
                            <w:spacing w:val="-2"/>
                            <w:sz w:val="20"/>
                          </w:rPr>
                          <w:t>Skills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Splunk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search language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and detection</w:t>
      </w:r>
      <w:r>
        <w:rPr>
          <w:spacing w:val="-1"/>
          <w:w w:val="105"/>
          <w:sz w:val="16"/>
        </w:rPr>
        <w:t> </w:t>
      </w:r>
      <w:r>
        <w:rPr>
          <w:spacing w:val="-2"/>
          <w:w w:val="105"/>
          <w:sz w:val="16"/>
        </w:rPr>
        <w:t>engineering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23" w:lineRule="exact" w:before="0" w:after="0"/>
        <w:ind w:left="1002" w:right="0" w:hanging="296"/>
        <w:jc w:val="left"/>
        <w:rPr>
          <w:sz w:val="16"/>
        </w:rPr>
      </w:pPr>
      <w:r>
        <w:rPr>
          <w:spacing w:val="-2"/>
          <w:w w:val="105"/>
          <w:sz w:val="16"/>
        </w:rPr>
        <w:t>CrowdStrike</w:t>
      </w:r>
      <w:r>
        <w:rPr>
          <w:spacing w:val="1"/>
          <w:w w:val="105"/>
          <w:sz w:val="16"/>
        </w:rPr>
        <w:t> </w:t>
      </w:r>
      <w:r>
        <w:rPr>
          <w:spacing w:val="-2"/>
          <w:w w:val="105"/>
          <w:sz w:val="16"/>
        </w:rPr>
        <w:t>Falcon,</w:t>
      </w:r>
      <w:r>
        <w:rPr>
          <w:spacing w:val="1"/>
          <w:w w:val="105"/>
          <w:sz w:val="16"/>
        </w:rPr>
        <w:t> </w:t>
      </w:r>
      <w:r>
        <w:rPr>
          <w:spacing w:val="-2"/>
          <w:w w:val="105"/>
          <w:sz w:val="16"/>
        </w:rPr>
        <w:t>SentinelOne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15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Adversary technique </w:t>
      </w:r>
      <w:r>
        <w:rPr>
          <w:spacing w:val="-2"/>
          <w:w w:val="105"/>
          <w:sz w:val="16"/>
        </w:rPr>
        <w:t>mapping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15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Python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PowerShell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triage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automation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36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M365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security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(Defender,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Purview)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43" w:lineRule="exact" w:before="96" w:after="0"/>
        <w:ind w:left="1002" w:right="0" w:hanging="296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Microsoft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Sentinel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query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authoring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23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Phishing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analysis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(headers,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sandboxing,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URL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detonation)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15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Incident response</w:t>
      </w:r>
      <w:r>
        <w:rPr>
          <w:spacing w:val="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"/>
          <w:w w:val="105"/>
          <w:sz w:val="16"/>
        </w:rPr>
        <w:t> </w:t>
      </w:r>
      <w:r>
        <w:rPr>
          <w:w w:val="105"/>
          <w:sz w:val="16"/>
        </w:rPr>
        <w:t>chain-of-custody </w:t>
      </w:r>
      <w:r>
        <w:rPr>
          <w:spacing w:val="-2"/>
          <w:w w:val="105"/>
          <w:sz w:val="16"/>
        </w:rPr>
        <w:t>notes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15" w:lineRule="exact" w:before="0" w:after="0"/>
        <w:ind w:left="1002" w:right="0" w:hanging="296"/>
        <w:jc w:val="left"/>
        <w:rPr>
          <w:sz w:val="16"/>
        </w:rPr>
      </w:pPr>
      <w:r>
        <w:rPr>
          <w:spacing w:val="-2"/>
          <w:w w:val="105"/>
          <w:sz w:val="16"/>
        </w:rPr>
        <w:t>Wireshark</w:t>
      </w:r>
      <w:r>
        <w:rPr>
          <w:w w:val="105"/>
          <w:sz w:val="16"/>
        </w:rPr>
        <w:t> </w:t>
      </w:r>
      <w:r>
        <w:rPr>
          <w:spacing w:val="-2"/>
          <w:w w:val="105"/>
          <w:sz w:val="16"/>
        </w:rPr>
        <w:t>and</w:t>
      </w:r>
      <w:r>
        <w:rPr>
          <w:w w:val="105"/>
          <w:sz w:val="16"/>
        </w:rPr>
        <w:t> </w:t>
      </w:r>
      <w:r>
        <w:rPr>
          <w:spacing w:val="-4"/>
          <w:w w:val="105"/>
          <w:sz w:val="16"/>
        </w:rPr>
        <w:t>Zeek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  <w:tab w:pos="1004" w:val="left" w:leader="none"/>
        </w:tabs>
        <w:spacing w:line="208" w:lineRule="auto" w:before="9" w:after="0"/>
        <w:ind w:left="1004" w:right="1063" w:hanging="298"/>
        <w:jc w:val="left"/>
        <w:rPr>
          <w:sz w:val="16"/>
        </w:rPr>
      </w:pPr>
      <w:r>
        <w:rPr>
          <w:w w:val="105"/>
          <w:sz w:val="16"/>
        </w:rPr>
        <w:t>Threat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intel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enrichment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VirusTotal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shared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indicator </w:t>
      </w:r>
      <w:r>
        <w:rPr>
          <w:spacing w:val="-2"/>
          <w:w w:val="105"/>
          <w:sz w:val="16"/>
        </w:rPr>
        <w:t>platforms</w:t>
      </w:r>
    </w:p>
    <w:sectPr>
      <w:type w:val="continuous"/>
      <w:pgSz w:w="11920" w:h="16860"/>
      <w:pgMar w:top="800" w:bottom="280" w:left="0" w:right="0"/>
      <w:cols w:num="2" w:equalWidth="0">
        <w:col w:w="4883" w:space="558"/>
        <w:col w:w="647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0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8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6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5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2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1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05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17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5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2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0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7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4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2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9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70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22"/>
      <w:jc w:val="center"/>
      <w:outlineLvl w:val="1"/>
    </w:pPr>
    <w:rPr>
      <w:rFonts w:ascii="Arial" w:hAnsi="Arial" w:eastAsia="Arial" w:cs="Arial"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11"/>
      <w:ind w:left="22"/>
      <w:jc w:val="center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15" w:lineRule="exact"/>
      <w:ind w:left="1002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aswamy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2026-09-26T13:02:56Z</dcterms:created>
  <dcterms:modified xsi:type="dcterms:W3CDTF">2026-09-26T13:02:56Z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