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A7789D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a7789d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A0A0A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A0A0A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A0A0A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A0A0A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0A0A0A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A0A0A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(704)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0158</w:t>
      </w:r>
    </w:p>
    <w:p>
      <w:pPr>
        <w:pStyle w:val="BodyText"/>
        <w:spacing w:line="268" w:lineRule="auto" w:before="14"/>
        <w:ind w:left="555" w:right="315"/>
      </w:pPr>
      <w:r>
        <w:rPr/>
        <w:br w:type="column"/>
      </w:r>
      <w:r>
        <w:rPr/>
        <w:t>Regional</w:t>
      </w:r>
      <w:r>
        <w:rPr>
          <w:spacing w:val="36"/>
        </w:rPr>
        <w:t> </w:t>
      </w:r>
      <w:r>
        <w:rPr/>
        <w:t>Retail</w:t>
      </w:r>
      <w:r>
        <w:rPr>
          <w:spacing w:val="36"/>
        </w:rPr>
        <w:t> </w:t>
      </w:r>
      <w:r>
        <w:rPr/>
        <w:t>Banking</w:t>
      </w:r>
      <w:r>
        <w:rPr>
          <w:spacing w:val="35"/>
        </w:rPr>
        <w:t> </w:t>
      </w:r>
      <w:r>
        <w:rPr/>
        <w:t>Manager</w:t>
      </w:r>
      <w:r>
        <w:rPr>
          <w:spacing w:val="36"/>
        </w:rPr>
        <w:t> </w:t>
      </w:r>
      <w:r>
        <w:rPr>
          <w:position w:val="2"/>
        </w:rPr>
        <w:t>|</w:t>
      </w:r>
      <w:r>
        <w:rPr>
          <w:spacing w:val="36"/>
          <w:position w:val="2"/>
        </w:rPr>
        <w:t> </w:t>
      </w:r>
      <w:r>
        <w:rPr/>
        <w:t>Coastal</w:t>
      </w:r>
      <w:r>
        <w:rPr>
          <w:spacing w:val="36"/>
        </w:rPr>
        <w:t> </w:t>
      </w:r>
      <w:r>
        <w:rPr/>
        <w:t>Ridge</w:t>
      </w:r>
      <w:r>
        <w:rPr>
          <w:spacing w:val="35"/>
        </w:rPr>
        <w:t> </w:t>
      </w:r>
      <w:r>
        <w:rPr/>
        <w:t>Bank</w:t>
      </w:r>
      <w:r>
        <w:rPr>
          <w:spacing w:val="36"/>
        </w:rPr>
        <w:t> </w:t>
      </w:r>
      <w:r>
        <w:rPr/>
        <w:t>&amp;</w:t>
      </w:r>
      <w:r>
        <w:rPr>
          <w:spacing w:val="30"/>
        </w:rPr>
        <w:t> </w:t>
      </w:r>
      <w:r>
        <w:rPr/>
        <w:t>Trust,</w:t>
      </w:r>
      <w:r>
        <w:rPr>
          <w:spacing w:val="36"/>
        </w:rPr>
        <w:t> </w:t>
      </w:r>
      <w:r>
        <w:rPr/>
        <w:t>Charlotte,</w:t>
      </w:r>
      <w:r>
        <w:rPr>
          <w:spacing w:val="36"/>
        </w:rPr>
        <w:t> </w:t>
      </w:r>
      <w:r>
        <w:rPr/>
        <w:t>NC</w:t>
      </w:r>
      <w:r>
        <w:rPr>
          <w:spacing w:val="36"/>
        </w:rPr>
        <w:t> </w:t>
      </w:r>
      <w:r>
        <w:rPr>
          <w:position w:val="2"/>
        </w:rPr>
        <w:t>| </w:t>
      </w:r>
      <w:r>
        <w:rPr/>
        <w:t>2020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</w:pPr>
    </w:p>
    <w:p>
      <w:pPr>
        <w:pStyle w:val="BodyText"/>
        <w:spacing w:before="24"/>
      </w:pPr>
    </w:p>
    <w:p>
      <w:pPr>
        <w:pStyle w:val="BodyText"/>
        <w:spacing w:line="681" w:lineRule="auto"/>
        <w:ind w:left="554" w:firstLine="52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352442</wp:posOffset>
                </wp:positionH>
                <wp:positionV relativeFrom="paragraph">
                  <wp:posOffset>-54565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-4.29648pt;width:17.7pt;height:20.350pt;mso-position-horizontal-relative:page;mso-position-vertical-relative:paragraph;z-index:15730688" id="docshape3" coordorigin="555,-86" coordsize="354,407" path="m790,-34l673,-34,732,-86,790,-34xm908,321l555,321,555,70,617,15,617,-34,846,-34,846,-13,638,-13,638,91,576,91,576,279,598,279,576,300,908,300,908,321xm795,175l773,175,825,129,825,-13,846,-13,846,15,908,70,908,91,887,91,795,175xm804,29l659,29,659,8,804,8,804,29xm804,70l659,70,659,50,804,50,804,70xm598,279l576,279,680,185,576,91,638,91,638,129,690,175,795,175,784,185,789,190,693,190,598,279xm804,112l659,112,659,91,804,91,804,112xm908,279l887,279,887,91,908,91,908,279xm908,300l887,300,770,190,789,190,887,279,908,279,908,30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859834</wp:posOffset>
                </wp:positionV>
                <wp:extent cx="2324100" cy="466725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A7789D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67.703506pt;width:183pt;height:36.75pt;mso-position-horizontal-relative:page;mso-position-vertical-relative:paragraph;z-index:15731712" type="#_x0000_t202" id="docshape4" filled="true" fillcolor="#a7789d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hyperlink r:id="rId6">
        <w:r>
          <w:rPr>
            <w:spacing w:val="-2"/>
          </w:rPr>
          <w:t>elena.vm@example.com</w:t>
        </w:r>
      </w:hyperlink>
      <w:r>
        <w:rPr>
          <w:spacing w:val="-2"/>
        </w:rPr>
        <w:t> </w:t>
      </w:r>
      <w:r>
        <w:rPr>
          <w:position w:val="-11"/>
        </w:rPr>
        <w:drawing>
          <wp:inline distT="0" distB="0" distL="0" distR="0">
            <wp:extent cx="224229" cy="219075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pacing w:val="80"/>
          <w:w w:val="105"/>
        </w:rPr>
        <w:t> </w:t>
      </w:r>
      <w:r>
        <w:rPr>
          <w:w w:val="105"/>
        </w:rPr>
        <w:t>Charlotte, NC 12345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spacing w:line="268" w:lineRule="auto"/>
        <w:ind w:left="557"/>
      </w:pPr>
      <w:r>
        <w:rPr>
          <w:w w:val="105"/>
        </w:rPr>
        <w:t>M.B.A., University of North Carolina at Chapel Hill (Kenan-Flagler), 2016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278" w:lineRule="auto"/>
        <w:ind w:left="557"/>
      </w:pPr>
      <w:r>
        <w:rPr>
          <w:w w:val="105"/>
        </w:rPr>
        <w:t>B.S. Finance, University of Florida, 2008</w:t>
      </w:r>
    </w:p>
    <w:p>
      <w:pPr>
        <w:pStyle w:val="BodyText"/>
        <w:spacing w:before="183"/>
      </w:pPr>
    </w:p>
    <w:p>
      <w:pPr>
        <w:pStyle w:val="BodyText"/>
        <w:spacing w:line="278" w:lineRule="auto"/>
        <w:ind w:left="557"/>
      </w:pPr>
      <w:r>
        <w:rPr>
          <w:w w:val="105"/>
        </w:rPr>
        <w:t>Graduate School of Banking, </w:t>
      </w:r>
      <w:r>
        <w:rPr>
          <w:spacing w:val="-4"/>
          <w:w w:val="105"/>
        </w:rPr>
        <w:t>2019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4" w:lineRule="auto" w:before="70" w:after="0"/>
        <w:ind w:left="1168" w:right="535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Lead a region of 22 branches, 4 district managers, and around 190 FTEs across NC and SC; region grew total deposits from $1.54B to $1.9B over</w:t>
      </w:r>
    </w:p>
    <w:p>
      <w:pPr>
        <w:pStyle w:val="BodyText"/>
        <w:spacing w:before="39"/>
        <w:ind w:left="1168"/>
      </w:pPr>
      <w:r>
        <w:rPr>
          <w:w w:val="105"/>
        </w:rPr>
        <w:t>four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75" w:after="0"/>
        <w:ind w:left="1168" w:right="580" w:hanging="298"/>
        <w:jc w:val="left"/>
        <w:rPr>
          <w:position w:val="-4"/>
          <w:sz w:val="31"/>
        </w:rPr>
      </w:pPr>
      <w:r>
        <w:rPr>
          <w:w w:val="105"/>
          <w:sz w:val="18"/>
        </w:rPr>
        <w:t>Delivered region net income growth averaging 9% annually while cutting branch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expense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share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deposits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40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basis</w:t>
      </w:r>
    </w:p>
    <w:p>
      <w:pPr>
        <w:pStyle w:val="BodyText"/>
        <w:spacing w:before="40"/>
        <w:ind w:left="1168"/>
      </w:pPr>
      <w:r>
        <w:rPr>
          <w:spacing w:val="-2"/>
          <w:w w:val="105"/>
        </w:rPr>
        <w:t>points.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74" w:after="0"/>
        <w:ind w:left="1168" w:right="693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Consolidated 4 low-traffic branches into nearby offices without material deposit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runoff,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freeing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new-format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branches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growth</w:t>
      </w:r>
    </w:p>
    <w:p>
      <w:pPr>
        <w:pStyle w:val="BodyText"/>
        <w:spacing w:before="25"/>
        <w:ind w:left="1168"/>
      </w:pPr>
      <w:r>
        <w:rPr>
          <w:spacing w:val="-2"/>
          <w:w w:val="105"/>
        </w:rPr>
        <w:t>submarkets.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90" w:after="0"/>
        <w:ind w:left="1168" w:right="390" w:hanging="298"/>
        <w:jc w:val="left"/>
        <w:rPr>
          <w:position w:val="-4"/>
          <w:sz w:val="31"/>
        </w:rPr>
      </w:pPr>
      <w:r>
        <w:rPr>
          <w:w w:val="105"/>
          <w:sz w:val="18"/>
        </w:rPr>
        <w:t>Region has closed the last three consecutive internal audits with no high-severity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findings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passed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federal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soundness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exam</w:t>
      </w:r>
    </w:p>
    <w:p>
      <w:pPr>
        <w:pStyle w:val="BodyText"/>
        <w:spacing w:before="25"/>
        <w:ind w:left="1168"/>
      </w:pPr>
      <w:r>
        <w:rPr>
          <w:spacing w:val="-2"/>
          <w:w w:val="105"/>
        </w:rPr>
        <w:t>cleanly.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90" w:after="0"/>
        <w:ind w:left="1168" w:right="40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district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routine,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branch-visit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template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1:1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cadence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now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adopted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bank-wide.</w:t>
      </w:r>
    </w:p>
    <w:p>
      <w:pPr>
        <w:pStyle w:val="BodyText"/>
        <w:spacing w:before="151"/>
      </w:pPr>
    </w:p>
    <w:p>
      <w:pPr>
        <w:pStyle w:val="BodyText"/>
        <w:spacing w:line="285" w:lineRule="auto"/>
        <w:ind w:left="554" w:right="1890"/>
      </w:pPr>
      <w:r>
        <w:rPr/>
        <w:t>District</w:t>
      </w:r>
      <w:r>
        <w:rPr>
          <w:spacing w:val="34"/>
        </w:rPr>
        <w:t> </w:t>
      </w:r>
      <w:r>
        <w:rPr/>
        <w:t>Manager</w:t>
      </w:r>
      <w:r>
        <w:rPr>
          <w:spacing w:val="34"/>
        </w:rPr>
        <w:t> </w:t>
      </w:r>
      <w:r>
        <w:rPr>
          <w:position w:val="2"/>
        </w:rPr>
        <w:t>|</w:t>
      </w:r>
      <w:r>
        <w:rPr>
          <w:spacing w:val="34"/>
          <w:position w:val="2"/>
        </w:rPr>
        <w:t> </w:t>
      </w:r>
      <w:r>
        <w:rPr/>
        <w:t>Coastal</w:t>
      </w:r>
      <w:r>
        <w:rPr>
          <w:spacing w:val="34"/>
        </w:rPr>
        <w:t> </w:t>
      </w:r>
      <w:r>
        <w:rPr/>
        <w:t>Ridge</w:t>
      </w:r>
      <w:r>
        <w:rPr>
          <w:spacing w:val="33"/>
        </w:rPr>
        <w:t> </w:t>
      </w:r>
      <w:r>
        <w:rPr/>
        <w:t>Bank</w:t>
      </w:r>
      <w:r>
        <w:rPr>
          <w:spacing w:val="34"/>
        </w:rPr>
        <w:t> </w:t>
      </w:r>
      <w:r>
        <w:rPr/>
        <w:t>&amp;</w:t>
      </w:r>
      <w:r>
        <w:rPr>
          <w:spacing w:val="29"/>
        </w:rPr>
        <w:t> </w:t>
      </w:r>
      <w:r>
        <w:rPr/>
        <w:t>Trust,</w:t>
      </w:r>
      <w:r>
        <w:rPr>
          <w:spacing w:val="34"/>
        </w:rPr>
        <w:t> </w:t>
      </w:r>
      <w:r>
        <w:rPr/>
        <w:t>Greensboro,</w:t>
      </w:r>
      <w:r>
        <w:rPr>
          <w:spacing w:val="34"/>
        </w:rPr>
        <w:t> </w:t>
      </w:r>
      <w:r>
        <w:rPr/>
        <w:t>NC</w:t>
      </w:r>
      <w:r>
        <w:rPr>
          <w:spacing w:val="34"/>
        </w:rPr>
        <w:t> </w:t>
      </w:r>
      <w:r>
        <w:rPr>
          <w:position w:val="2"/>
        </w:rPr>
        <w:t>| </w:t>
      </w:r>
      <w:r>
        <w:rPr/>
        <w:t>2017 – 2020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171" w:after="0"/>
        <w:ind w:left="1168" w:right="632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a district of 8 branches and $520M in deposits; district moved from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bottom quartile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quartile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retail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scorecard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months.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201" w:lineRule="auto" w:before="82" w:after="0"/>
        <w:ind w:left="1168" w:right="746" w:hanging="298"/>
        <w:jc w:val="left"/>
        <w:rPr>
          <w:position w:val="-4"/>
          <w:sz w:val="31"/>
        </w:rPr>
      </w:pPr>
      <w:r>
        <w:rPr>
          <w:w w:val="105"/>
          <w:sz w:val="18"/>
        </w:rPr>
        <w:t>Directly hired and onboarded 5 branch managers, three of whom were promoted from within the district.</w:t>
      </w:r>
    </w:p>
    <w:p>
      <w:pPr>
        <w:pStyle w:val="ListParagraph"/>
        <w:numPr>
          <w:ilvl w:val="0"/>
          <w:numId w:val="1"/>
        </w:numPr>
        <w:tabs>
          <w:tab w:pos="1166" w:val="left" w:leader="none"/>
          <w:tab w:pos="1168" w:val="left" w:leader="none"/>
        </w:tabs>
        <w:spacing w:line="189" w:lineRule="auto" w:before="108" w:after="0"/>
        <w:ind w:left="1168" w:right="407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the integration of 3 acquired branches, including systems conversion,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staffing decisions, and customer retention outreach.</w:t>
      </w:r>
    </w:p>
    <w:p>
      <w:pPr>
        <w:pStyle w:val="ListParagraph"/>
        <w:numPr>
          <w:ilvl w:val="0"/>
          <w:numId w:val="1"/>
        </w:numPr>
        <w:tabs>
          <w:tab w:pos="1167" w:val="left" w:leader="none"/>
        </w:tabs>
        <w:spacing w:line="334" w:lineRule="exact" w:before="60" w:after="0"/>
        <w:ind w:left="1167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Chaired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district's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small-business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banking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initiative,</w:t>
      </w:r>
      <w:r>
        <w:rPr>
          <w:spacing w:val="26"/>
          <w:w w:val="105"/>
          <w:sz w:val="18"/>
        </w:rPr>
        <w:t> </w:t>
      </w:r>
      <w:r>
        <w:rPr>
          <w:w w:val="105"/>
          <w:sz w:val="18"/>
        </w:rPr>
        <w:t>growing</w:t>
      </w:r>
      <w:r>
        <w:rPr>
          <w:spacing w:val="27"/>
          <w:w w:val="105"/>
          <w:sz w:val="18"/>
        </w:rPr>
        <w:t> </w:t>
      </w:r>
      <w:r>
        <w:rPr>
          <w:spacing w:val="-2"/>
          <w:w w:val="105"/>
          <w:sz w:val="18"/>
        </w:rPr>
        <w:t>small-</w:t>
      </w:r>
    </w:p>
    <w:p>
      <w:pPr>
        <w:pStyle w:val="BodyText"/>
        <w:spacing w:line="55" w:lineRule="exact"/>
        <w:ind w:left="1168"/>
      </w:pPr>
      <w:r>
        <w:rPr>
          <w:w w:val="105"/>
        </w:rPr>
        <w:t>business</w:t>
      </w:r>
      <w:r>
        <w:rPr>
          <w:spacing w:val="18"/>
          <w:w w:val="105"/>
        </w:rPr>
        <w:t> </w:t>
      </w:r>
      <w:r>
        <w:rPr>
          <w:w w:val="105"/>
        </w:rPr>
        <w:t>deposit</w:t>
      </w:r>
      <w:r>
        <w:rPr>
          <w:spacing w:val="18"/>
          <w:w w:val="105"/>
        </w:rPr>
        <w:t> </w:t>
      </w:r>
      <w:r>
        <w:rPr>
          <w:w w:val="105"/>
        </w:rPr>
        <w:t>balances</w:t>
      </w:r>
      <w:r>
        <w:rPr>
          <w:spacing w:val="18"/>
          <w:w w:val="105"/>
        </w:rPr>
        <w:t> </w:t>
      </w:r>
      <w:r>
        <w:rPr>
          <w:w w:val="105"/>
        </w:rPr>
        <w:t>by</w:t>
      </w:r>
      <w:r>
        <w:rPr>
          <w:spacing w:val="18"/>
          <w:w w:val="105"/>
        </w:rPr>
        <w:t> </w:t>
      </w:r>
      <w:r>
        <w:rPr>
          <w:w w:val="105"/>
        </w:rPr>
        <w:t>around</w:t>
      </w:r>
      <w:r>
        <w:rPr>
          <w:spacing w:val="18"/>
          <w:w w:val="105"/>
        </w:rPr>
        <w:t> </w:t>
      </w:r>
      <w:r>
        <w:rPr>
          <w:w w:val="105"/>
        </w:rPr>
        <w:t>$62M</w:t>
      </w:r>
      <w:r>
        <w:rPr>
          <w:spacing w:val="17"/>
          <w:w w:val="105"/>
        </w:rPr>
        <w:t> </w:t>
      </w:r>
      <w:r>
        <w:rPr>
          <w:w w:val="105"/>
        </w:rPr>
        <w:t>over</w:t>
      </w:r>
      <w:r>
        <w:rPr>
          <w:spacing w:val="18"/>
          <w:w w:val="105"/>
        </w:rPr>
        <w:t> </w:t>
      </w:r>
      <w:r>
        <w:rPr>
          <w:w w:val="105"/>
        </w:rPr>
        <w:t>two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years.</w:t>
      </w:r>
    </w:p>
    <w:p>
      <w:pPr>
        <w:pStyle w:val="BodyText"/>
        <w:spacing w:after="0" w:line="55" w:lineRule="exact"/>
        <w:sectPr>
          <w:type w:val="continuous"/>
          <w:pgSz w:w="11920" w:h="16860"/>
          <w:pgMar w:top="1920" w:bottom="280" w:left="0" w:right="0"/>
          <w:cols w:num="2" w:equalWidth="0">
            <w:col w:w="3278" w:space="631"/>
            <w:col w:w="8011"/>
          </w:cols>
        </w:sectPr>
      </w:pP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39" w:after="0"/>
        <w:ind w:left="855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ragraph">
                  <wp:posOffset>-656516</wp:posOffset>
                </wp:positionV>
                <wp:extent cx="2324100" cy="46672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A7789D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1.694241pt;width:183pt;height:36.75pt;mso-position-horizontal-relative:page;mso-position-vertical-relative:paragraph;z-index:15731200" type="#_x0000_t202" id="docshape5" filled="true" fillcolor="#a7789d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Multi-branch P&amp;L (20+ </w:t>
      </w:r>
      <w:r>
        <w:rPr>
          <w:spacing w:val="-2"/>
          <w:w w:val="105"/>
          <w:sz w:val="18"/>
        </w:rPr>
        <w:t>locations)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81" w:after="0"/>
        <w:ind w:left="855" w:right="246" w:hanging="298"/>
        <w:jc w:val="left"/>
        <w:rPr>
          <w:position w:val="-4"/>
          <w:sz w:val="31"/>
        </w:rPr>
      </w:pPr>
      <w:r>
        <w:rPr>
          <w:w w:val="105"/>
          <w:sz w:val="18"/>
        </w:rPr>
        <w:t>District and regional coaching cadences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66"/>
      </w:pPr>
    </w:p>
    <w:p>
      <w:pPr>
        <w:pStyle w:val="BodyText"/>
        <w:spacing w:line="285" w:lineRule="auto"/>
        <w:ind w:left="557" w:right="1422"/>
      </w:pPr>
      <w:r>
        <w:rPr/>
        <w:t>Branch</w:t>
      </w:r>
      <w:r>
        <w:rPr>
          <w:spacing w:val="38"/>
        </w:rPr>
        <w:t> </w:t>
      </w:r>
      <w:r>
        <w:rPr/>
        <w:t>Manager</w:t>
      </w:r>
      <w:r>
        <w:rPr>
          <w:spacing w:val="39"/>
        </w:rPr>
        <w:t> </w:t>
      </w:r>
      <w:r>
        <w:rPr>
          <w:position w:val="2"/>
        </w:rPr>
        <w:t>|</w:t>
      </w:r>
      <w:r>
        <w:rPr>
          <w:spacing w:val="39"/>
          <w:position w:val="2"/>
        </w:rPr>
        <w:t> </w:t>
      </w:r>
      <w:r>
        <w:rPr/>
        <w:t>Blue</w:t>
      </w:r>
      <w:r>
        <w:rPr>
          <w:spacing w:val="38"/>
        </w:rPr>
        <w:t> </w:t>
      </w:r>
      <w:r>
        <w:rPr/>
        <w:t>Ridge</w:t>
      </w:r>
      <w:r>
        <w:rPr>
          <w:spacing w:val="38"/>
        </w:rPr>
        <w:t> </w:t>
      </w:r>
      <w:r>
        <w:rPr/>
        <w:t>National</w:t>
      </w:r>
      <w:r>
        <w:rPr>
          <w:spacing w:val="39"/>
        </w:rPr>
        <w:t> </w:t>
      </w:r>
      <w:r>
        <w:rPr/>
        <w:t>Bank,</w:t>
      </w:r>
      <w:r>
        <w:rPr>
          <w:spacing w:val="39"/>
        </w:rPr>
        <w:t> </w:t>
      </w:r>
      <w:r>
        <w:rPr/>
        <w:t>Winston-Salem,</w:t>
      </w:r>
      <w:r>
        <w:rPr>
          <w:spacing w:val="39"/>
        </w:rPr>
        <w:t> </w:t>
      </w:r>
      <w:r>
        <w:rPr/>
        <w:t>NC</w:t>
      </w:r>
      <w:r>
        <w:rPr>
          <w:spacing w:val="39"/>
        </w:rPr>
        <w:t> </w:t>
      </w:r>
      <w:r>
        <w:rPr>
          <w:position w:val="2"/>
        </w:rPr>
        <w:t>| </w:t>
      </w:r>
      <w:r>
        <w:rPr/>
        <w:t>2013 – 2017</w:t>
      </w:r>
    </w:p>
    <w:p>
      <w:pPr>
        <w:pStyle w:val="BodyText"/>
        <w:spacing w:after="0" w:line="285" w:lineRule="auto"/>
        <w:sectPr>
          <w:type w:val="continuous"/>
          <w:pgSz w:w="11920" w:h="16860"/>
          <w:pgMar w:top="1920" w:bottom="280" w:left="0" w:right="0"/>
          <w:cols w:num="2" w:equalWidth="0">
            <w:col w:w="2849" w:space="1057"/>
            <w:col w:w="8014"/>
          </w:cols>
        </w:sectPr>
      </w:pP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189" w:lineRule="auto" w:before="109" w:after="0"/>
        <w:ind w:left="855" w:right="110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562225"/>
                                </a:lnTo>
                                <a:lnTo>
                                  <a:pt x="4901184" y="2562225"/>
                                </a:lnTo>
                                <a:lnTo>
                                  <a:pt x="4901184" y="226695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914637"/>
                                </a:lnTo>
                                <a:lnTo>
                                  <a:pt x="0" y="2914637"/>
                                </a:lnTo>
                                <a:lnTo>
                                  <a:pt x="0" y="103822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66999" y="256222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789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276225"/>
                            <a:ext cx="7568565" cy="1990725"/>
                          </a:xfrm>
                          <a:prstGeom prst="rect">
                            <a:avLst/>
                          </a:prstGeom>
                          <a:solidFill>
                            <a:srgbClr val="A7789D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pacing w:val="12"/>
                                  <w:sz w:val="74"/>
                                </w:rPr>
                                <w:t>Jennifer</w:t>
                              </w:r>
                              <w:r>
                                <w:rPr>
                                  <w:b/>
                                  <w:color w:val="0A0A0A"/>
                                  <w:spacing w:val="33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0A0A0A"/>
                                  <w:spacing w:val="9"/>
                                  <w:sz w:val="74"/>
                                </w:rPr>
                                <w:t>Davis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A0A0A"/>
                                  <w:sz w:val="22"/>
                                </w:rPr>
                                <w:t>Branch</w:t>
                              </w:r>
                              <w:r>
                                <w:rPr>
                                  <w:b/>
                                  <w:color w:val="0A0A0A"/>
                                  <w:spacing w:val="3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A0A0A"/>
                                  <w:spacing w:val="-2"/>
                                  <w:sz w:val="22"/>
                                </w:rPr>
                                <w:t>Manager</w:t>
                              </w:r>
                            </w:p>
                            <w:p>
                              <w:pPr>
                                <w:spacing w:line="273" w:lineRule="auto" w:before="194"/>
                                <w:ind w:left="873" w:right="552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Regional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Retail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Banking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Manager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overseeing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22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branches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roughly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$1.9B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deposits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Carolinas.</w:t>
                              </w:r>
                              <w:r>
                                <w:rPr>
                                  <w:color w:val="000000"/>
                                  <w:spacing w:val="31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Seventeen-year banking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career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built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turnaround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assignments,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disciplined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coaching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cadences,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clean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regulatory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exam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results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across</w:t>
                              </w:r>
                              <w:r>
                                <w:rPr>
                                  <w:color w:val="000000"/>
                                  <w:spacing w:val="2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multiple </w:t>
                              </w:r>
                              <w:r>
                                <w:rPr>
                                  <w:color w:val="000000"/>
                                  <w:spacing w:val="-2"/>
                                  <w:w w:val="105"/>
                                  <w:sz w:val="16"/>
                                </w:rPr>
                                <w:t>cycles.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99808" id="docshapegroup6" coordorigin="0,0" coordsize="11919,16858">
                <v:shape style="position:absolute;left:4199;top:0;width:7719;height:16858" id="docshape7" coordorigin="4200,0" coordsize="7719,16858" path="m11918,3570l4200,3570,4200,4035,11918,4035,11918,3570xm11918,0l4200,0,4200,435,11918,435,11918,0xm11918,8360l11918,8360,11918,4590,4200,4590,4200,16350,4200,16350,4200,16858,11918,16858,11918,8360xe" filled="true" fillcolor="#f5f5f5" stroked="false">
                  <v:path arrowok="t"/>
                  <v:fill type="solid"/>
                </v:shape>
                <v:rect style="position:absolute;left:4200;top:4035;width:390;height:555" id="docshape8" filled="true" fillcolor="#a7789d" stroked="false">
                  <v:fill type="solid"/>
                </v:rect>
                <v:shape style="position:absolute;left:0;top:435;width:11919;height:3135" type="#_x0000_t202" id="docshape9" filled="true" fillcolor="#a7789d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0A0A0A"/>
                            <w:spacing w:val="12"/>
                            <w:sz w:val="74"/>
                          </w:rPr>
                          <w:t>Jennifer</w:t>
                        </w:r>
                        <w:r>
                          <w:rPr>
                            <w:b/>
                            <w:color w:val="0A0A0A"/>
                            <w:spacing w:val="33"/>
                            <w:sz w:val="74"/>
                          </w:rPr>
                          <w:t> </w:t>
                        </w:r>
                        <w:r>
                          <w:rPr>
                            <w:color w:val="0A0A0A"/>
                            <w:spacing w:val="9"/>
                            <w:sz w:val="74"/>
                          </w:rPr>
                          <w:t>Davis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A0A0A"/>
                            <w:sz w:val="22"/>
                          </w:rPr>
                          <w:t>Branch</w:t>
                        </w:r>
                        <w:r>
                          <w:rPr>
                            <w:b/>
                            <w:color w:val="0A0A0A"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0A0A0A"/>
                            <w:spacing w:val="-2"/>
                            <w:sz w:val="22"/>
                          </w:rPr>
                          <w:t>Manager</w:t>
                        </w:r>
                      </w:p>
                      <w:p>
                        <w:pPr>
                          <w:spacing w:line="273" w:lineRule="auto" w:before="194"/>
                          <w:ind w:left="873" w:right="552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Regional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Retail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Banking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Manager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overseeing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22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branches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roughly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$1.9B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deposits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Carolinas.</w:t>
                        </w:r>
                        <w:r>
                          <w:rPr>
                            <w:color w:val="000000"/>
                            <w:spacing w:val="3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Seventeen-year banking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career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built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on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turnaround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assignments,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disciplined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coaching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cadences,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clean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regulatory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exam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results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across</w:t>
                        </w:r>
                        <w:r>
                          <w:rPr>
                            <w:color w:val="000000"/>
                            <w:spacing w:val="2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multiple </w:t>
                        </w:r>
                        <w:r>
                          <w:rPr>
                            <w:color w:val="000000"/>
                            <w:spacing w:val="-2"/>
                            <w:w w:val="105"/>
                            <w:sz w:val="16"/>
                          </w:rPr>
                          <w:t>cycles.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Branch consolidation and de novo openings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45" w:hanging="298"/>
        <w:jc w:val="left"/>
        <w:rPr>
          <w:position w:val="-4"/>
          <w:sz w:val="31"/>
        </w:rPr>
      </w:pPr>
      <w:r>
        <w:rPr>
          <w:w w:val="105"/>
          <w:sz w:val="18"/>
        </w:rPr>
        <w:t>Small-business and commercial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referral</w:t>
      </w:r>
      <w:r>
        <w:rPr>
          <w:spacing w:val="23"/>
          <w:w w:val="105"/>
          <w:sz w:val="18"/>
        </w:rPr>
        <w:t> </w:t>
      </w:r>
      <w:r>
        <w:rPr>
          <w:spacing w:val="-2"/>
          <w:w w:val="105"/>
          <w:sz w:val="18"/>
        </w:rPr>
        <w:t>programs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Federal regulator and internal audit management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189" w:lineRule="auto" w:before="108" w:after="0"/>
        <w:ind w:left="855" w:right="200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Anti-money-laundering </w:t>
      </w:r>
      <w:r>
        <w:rPr>
          <w:w w:val="105"/>
          <w:sz w:val="18"/>
        </w:rPr>
        <w:t>program oversight at region</w:t>
      </w:r>
    </w:p>
    <w:p>
      <w:pPr>
        <w:pStyle w:val="BodyText"/>
        <w:spacing w:before="42"/>
        <w:ind w:left="855"/>
      </w:pPr>
      <w:r>
        <w:rPr>
          <w:spacing w:val="-2"/>
          <w:w w:val="105"/>
        </w:rPr>
        <w:t>level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</w:tabs>
        <w:spacing w:line="240" w:lineRule="auto" w:before="41" w:after="0"/>
        <w:ind w:left="853" w:right="0" w:hanging="296"/>
        <w:jc w:val="left"/>
        <w:rPr>
          <w:position w:val="-3"/>
          <w:sz w:val="31"/>
        </w:rPr>
      </w:pPr>
      <w:r>
        <w:rPr>
          <w:w w:val="105"/>
          <w:sz w:val="18"/>
        </w:rPr>
        <w:t>M&amp;A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branch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integration</w:t>
      </w:r>
    </w:p>
    <w:p>
      <w:pPr>
        <w:pStyle w:val="ListParagraph"/>
        <w:numPr>
          <w:ilvl w:val="1"/>
          <w:numId w:val="2"/>
        </w:numPr>
        <w:tabs>
          <w:tab w:pos="1169" w:val="left" w:leader="none"/>
          <w:tab w:pos="1171" w:val="left" w:leader="none"/>
        </w:tabs>
        <w:spacing w:line="201" w:lineRule="auto" w:before="97" w:after="0"/>
        <w:ind w:left="1171" w:right="56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Managed a $240M-deposit flagship office of 14; consistently top-3 in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region on scorecard.</w:t>
      </w:r>
    </w:p>
    <w:p>
      <w:pPr>
        <w:pStyle w:val="ListParagraph"/>
        <w:numPr>
          <w:ilvl w:val="1"/>
          <w:numId w:val="2"/>
        </w:numPr>
        <w:tabs>
          <w:tab w:pos="1169" w:val="left" w:leader="none"/>
          <w:tab w:pos="1171" w:val="left" w:leader="none"/>
        </w:tabs>
        <w:spacing w:line="201" w:lineRule="auto" w:before="82" w:after="0"/>
        <w:ind w:left="1171" w:right="310" w:hanging="298"/>
        <w:jc w:val="left"/>
        <w:rPr>
          <w:sz w:val="18"/>
        </w:rPr>
      </w:pPr>
      <w:r>
        <w:rPr>
          <w:w w:val="105"/>
          <w:sz w:val="18"/>
        </w:rPr>
        <w:t>Grew household count by roughly 22% over the tenure through a structured centers-of-influence program with local CPAs and attorneys.</w:t>
      </w:r>
    </w:p>
    <w:p>
      <w:pPr>
        <w:pStyle w:val="ListParagraph"/>
        <w:numPr>
          <w:ilvl w:val="1"/>
          <w:numId w:val="2"/>
        </w:numPr>
        <w:tabs>
          <w:tab w:pos="1169" w:val="left" w:leader="none"/>
          <w:tab w:pos="1171" w:val="left" w:leader="none"/>
        </w:tabs>
        <w:spacing w:line="189" w:lineRule="auto" w:before="108" w:after="0"/>
        <w:ind w:left="1171" w:right="345" w:hanging="298"/>
        <w:jc w:val="left"/>
        <w:rPr>
          <w:sz w:val="18"/>
        </w:rPr>
      </w:pPr>
      <w:r>
        <w:rPr>
          <w:w w:val="105"/>
          <w:sz w:val="18"/>
        </w:rPr>
        <w:t>Closed multiple audits with zero findings and served as pilot branch for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bank's Salesforce rollout.</w:t>
      </w:r>
    </w:p>
    <w:p>
      <w:pPr>
        <w:pStyle w:val="ListParagraph"/>
        <w:numPr>
          <w:ilvl w:val="1"/>
          <w:numId w:val="2"/>
        </w:numPr>
        <w:tabs>
          <w:tab w:pos="1169" w:val="left" w:leader="none"/>
        </w:tabs>
        <w:spacing w:line="240" w:lineRule="auto" w:before="60" w:after="0"/>
        <w:ind w:left="1169" w:right="0" w:hanging="296"/>
        <w:jc w:val="left"/>
        <w:rPr>
          <w:sz w:val="18"/>
        </w:rPr>
      </w:pPr>
      <w:r>
        <w:rPr>
          <w:w w:val="105"/>
          <w:sz w:val="18"/>
        </w:rPr>
        <w:t>Coached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bankers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personal-banker-of-the-year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recognition.</w:t>
      </w:r>
    </w:p>
    <w:p>
      <w:pPr>
        <w:pStyle w:val="BodyText"/>
        <w:spacing w:before="81"/>
      </w:pPr>
    </w:p>
    <w:p>
      <w:pPr>
        <w:pStyle w:val="BodyText"/>
        <w:spacing w:line="268" w:lineRule="auto" w:before="1"/>
        <w:ind w:left="557" w:right="1422"/>
      </w:pPr>
      <w:r>
        <w:rPr/>
        <w:t>Assistant</w:t>
      </w:r>
      <w:r>
        <w:rPr>
          <w:spacing w:val="39"/>
        </w:rPr>
        <w:t> </w:t>
      </w:r>
      <w:r>
        <w:rPr/>
        <w:t>Branch</w:t>
      </w:r>
      <w:r>
        <w:rPr>
          <w:spacing w:val="37"/>
        </w:rPr>
        <w:t> </w:t>
      </w:r>
      <w:r>
        <w:rPr/>
        <w:t>Manager</w:t>
      </w:r>
      <w:r>
        <w:rPr>
          <w:spacing w:val="39"/>
        </w:rPr>
        <w:t> </w:t>
      </w:r>
      <w:r>
        <w:rPr>
          <w:position w:val="2"/>
        </w:rPr>
        <w:t>|</w:t>
      </w:r>
      <w:r>
        <w:rPr>
          <w:spacing w:val="39"/>
          <w:position w:val="2"/>
        </w:rPr>
        <w:t> </w:t>
      </w:r>
      <w:r>
        <w:rPr/>
        <w:t>Blue</w:t>
      </w:r>
      <w:r>
        <w:rPr>
          <w:spacing w:val="37"/>
        </w:rPr>
        <w:t> </w:t>
      </w:r>
      <w:r>
        <w:rPr/>
        <w:t>Ridge</w:t>
      </w:r>
      <w:r>
        <w:rPr>
          <w:spacing w:val="37"/>
        </w:rPr>
        <w:t> </w:t>
      </w:r>
      <w:r>
        <w:rPr/>
        <w:t>National</w:t>
      </w:r>
      <w:r>
        <w:rPr>
          <w:spacing w:val="39"/>
        </w:rPr>
        <w:t> </w:t>
      </w:r>
      <w:r>
        <w:rPr/>
        <w:t>Bank, Asheville,</w:t>
      </w:r>
      <w:r>
        <w:rPr>
          <w:spacing w:val="39"/>
        </w:rPr>
        <w:t> </w:t>
      </w:r>
      <w:r>
        <w:rPr/>
        <w:t>NC</w:t>
      </w:r>
      <w:r>
        <w:rPr>
          <w:spacing w:val="39"/>
        </w:rPr>
        <w:t> </w:t>
      </w:r>
      <w:r>
        <w:rPr>
          <w:position w:val="2"/>
        </w:rPr>
        <w:t>| </w:t>
      </w:r>
      <w:r>
        <w:rPr/>
        <w:t>2010 – 2013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3462" w:space="444"/>
            <w:col w:w="8014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0" w:right="0"/>
        </w:sectPr>
      </w:pP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139" w:after="0"/>
        <w:ind w:left="855" w:right="825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2619362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-15797248" id="docshape10" coordorigin="4200,0" coordsize="7719,16858" path="m11918,0l4200,0,4200,510,4200,4125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Talent pipeline and succession planning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38" w:hanging="298"/>
        <w:jc w:val="left"/>
        <w:rPr>
          <w:position w:val="-4"/>
          <w:sz w:val="31"/>
        </w:rPr>
      </w:pPr>
      <w:r>
        <w:rPr>
          <w:sz w:val="18"/>
        </w:rPr>
        <w:t>Salesforce FSC, nCino, Fiserv </w:t>
      </w:r>
      <w:r>
        <w:rPr>
          <w:spacing w:val="-4"/>
          <w:sz w:val="18"/>
        </w:rPr>
        <w:t>DNA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189" w:lineRule="auto" w:before="108" w:after="0"/>
        <w:ind w:left="855" w:right="477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Community reinvestment strategy and community</w:t>
      </w:r>
    </w:p>
    <w:p>
      <w:pPr>
        <w:pStyle w:val="BodyText"/>
        <w:spacing w:before="42"/>
        <w:ind w:left="855"/>
      </w:pPr>
      <w:r>
        <w:rPr>
          <w:spacing w:val="-2"/>
          <w:w w:val="105"/>
        </w:rPr>
        <w:t>partnerships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4" w:lineRule="auto" w:before="70" w:after="0"/>
        <w:ind w:left="855" w:right="445" w:hanging="298"/>
        <w:jc w:val="left"/>
        <w:rPr>
          <w:position w:val="-2"/>
          <w:sz w:val="31"/>
        </w:rPr>
      </w:pPr>
      <w:r>
        <w:rPr>
          <w:w w:val="105"/>
          <w:sz w:val="18"/>
        </w:rPr>
        <w:t>Retail operating expense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189" w:lineRule="auto" w:before="107" w:after="0"/>
        <w:ind w:left="855" w:right="352" w:hanging="298"/>
        <w:jc w:val="left"/>
        <w:rPr>
          <w:position w:val="-4"/>
          <w:sz w:val="31"/>
        </w:rPr>
      </w:pPr>
      <w:r>
        <w:rPr>
          <w:w w:val="105"/>
          <w:sz w:val="18"/>
        </w:rPr>
        <w:t>Executive reporting to risk committee and COO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139" w:after="0"/>
        <w:ind w:left="855" w:right="542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Supervised teller and platform staff at a $75M branch; owned vault, cash ordering, and dual-control routines.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82" w:after="0"/>
        <w:ind w:left="855" w:right="745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 deposit hold decisions and suspicious activity referrals to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bank's financial crimes group.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189" w:lineRule="auto" w:before="108" w:after="0"/>
        <w:ind w:left="855" w:right="804" w:hanging="298"/>
        <w:jc w:val="left"/>
        <w:rPr>
          <w:position w:val="-4"/>
          <w:sz w:val="31"/>
        </w:rPr>
      </w:pPr>
      <w:r>
        <w:rPr>
          <w:w w:val="105"/>
          <w:sz w:val="18"/>
        </w:rPr>
        <w:t>Filled in as acting Branch Manager for nine months during a vacancy; branch hit deposit growth goal that year.</w:t>
      </w:r>
    </w:p>
    <w:p>
      <w:pPr>
        <w:pStyle w:val="ListParagraph"/>
        <w:numPr>
          <w:ilvl w:val="0"/>
          <w:numId w:val="2"/>
        </w:numPr>
        <w:tabs>
          <w:tab w:pos="853" w:val="left" w:leader="none"/>
          <w:tab w:pos="855" w:val="left" w:leader="none"/>
        </w:tabs>
        <w:spacing w:line="201" w:lineRule="auto" w:before="98" w:after="0"/>
        <w:ind w:left="855" w:right="802" w:hanging="298"/>
        <w:jc w:val="left"/>
        <w:rPr>
          <w:position w:val="-4"/>
          <w:sz w:val="31"/>
        </w:rPr>
      </w:pPr>
      <w:r>
        <w:rPr>
          <w:w w:val="105"/>
          <w:sz w:val="18"/>
        </w:rPr>
        <w:t>Selected as a founding member of the bank's High-Potential Manager </w:t>
      </w:r>
      <w:r>
        <w:rPr>
          <w:spacing w:val="-2"/>
          <w:w w:val="105"/>
          <w:sz w:val="18"/>
        </w:rPr>
        <w:t>cohort.</w:t>
      </w:r>
    </w:p>
    <w:sectPr>
      <w:type w:val="continuous"/>
      <w:pgSz w:w="11920" w:h="16860"/>
      <w:pgMar w:top="1920" w:bottom="280" w:left="0" w:right="0"/>
      <w:cols w:num="2" w:equalWidth="0">
        <w:col w:w="3465" w:space="757"/>
        <w:col w:w="769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85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3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8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6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1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61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6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4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1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9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8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6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5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39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85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elena.vm@example.com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2026-09-24T09:35:31Z</dcterms:created>
  <dcterms:modified xsi:type="dcterms:W3CDTF">2026-09-24T09:35:31Z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2026-09-24T00:00:00Z</vt:filetime>
  </property>
  <property fmtid="{D5CDD505-2E9C-101B-9397-08002B2CF9AE}" pid="5" name="Producer">
    <vt:lpwstr>pdf-merger-js</vt:lpwstr>
  </property>
</Properties>
</file>