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54"/>
        <w:rPr>
          <w:rFonts w:ascii="Times New Roman"/>
          <w:sz w:val="20"/>
        </w:rPr>
      </w:pPr>
    </w:p>
    <w:p>
      <w:pPr>
        <w:pStyle w:val="BodyText"/>
        <w:spacing w:after="0"/>
        <w:rPr>
          <w:rFonts w:ascii="Times New Roman"/>
          <w:sz w:val="20"/>
        </w:rPr>
        <w:sectPr>
          <w:type w:val="continuous"/>
          <w:pgSz w:w="11920" w:h="16860"/>
          <w:pgMar w:top="0" w:bottom="0" w:left="283" w:right="0"/>
        </w:sect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spacing w:before="288"/>
        <w:rPr>
          <w:rFonts w:ascii="Times New Roman"/>
          <w:sz w:val="28"/>
        </w:rPr>
      </w:pPr>
    </w:p>
    <w:p>
      <w:pPr>
        <w:pStyle w:val="Heading2"/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342899</wp:posOffset>
            </wp:positionH>
            <wp:positionV relativeFrom="paragraph">
              <wp:posOffset>-2319195</wp:posOffset>
            </wp:positionV>
            <wp:extent cx="2038349" cy="2038349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8349" cy="20383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spacing w:val="21"/>
        </w:rPr>
        <w:t>CONTACT</w:t>
      </w:r>
    </w:p>
    <w:p>
      <w:pPr>
        <w:spacing w:before="23"/>
        <w:ind w:left="107" w:right="0" w:firstLine="0"/>
        <w:jc w:val="left"/>
        <w:rPr>
          <w:b/>
          <w:sz w:val="28"/>
        </w:rPr>
      </w:pPr>
      <w:r>
        <w:rPr>
          <w:b/>
          <w:color w:val="FFFFFF"/>
          <w:spacing w:val="24"/>
          <w:sz w:val="28"/>
        </w:rPr>
        <w:t>INFORMATION</w:t>
      </w:r>
    </w:p>
    <w:p>
      <w:pPr>
        <w:spacing w:before="225"/>
        <w:ind w:left="422" w:right="0" w:firstLine="0"/>
        <w:jc w:val="left"/>
        <w:rPr>
          <w:sz w:val="18"/>
        </w:rPr>
      </w:pPr>
      <w:r>
        <w:rPr>
          <w:position w:val="-9"/>
        </w:rPr>
        <w:drawing>
          <wp:inline distT="0" distB="0" distL="0" distR="0">
            <wp:extent cx="177103" cy="177099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103" cy="177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9"/>
        </w:rPr>
      </w:r>
      <w:r>
        <w:rPr>
          <w:rFonts w:ascii="Times New Roman"/>
          <w:spacing w:val="80"/>
          <w:w w:val="105"/>
          <w:sz w:val="20"/>
        </w:rPr>
        <w:t> </w:t>
      </w:r>
      <w:r>
        <w:rPr>
          <w:color w:val="FFFFFF"/>
          <w:w w:val="105"/>
          <w:sz w:val="18"/>
        </w:rPr>
        <w:t>(401) 555-0164</w:t>
      </w:r>
    </w:p>
    <w:p>
      <w:pPr>
        <w:pStyle w:val="BodyText"/>
        <w:spacing w:before="39"/>
        <w:rPr>
          <w:sz w:val="18"/>
        </w:rPr>
      </w:pPr>
    </w:p>
    <w:p>
      <w:pPr>
        <w:spacing w:line="453" w:lineRule="auto" w:before="1"/>
        <w:ind w:left="422" w:right="0" w:firstLine="17"/>
        <w:jc w:val="left"/>
        <w:rPr>
          <w:sz w:val="18"/>
        </w:rPr>
      </w:pPr>
      <w:r>
        <w:rPr>
          <w:position w:val="-8"/>
        </w:rPr>
        <w:drawing>
          <wp:inline distT="0" distB="0" distL="0" distR="0">
            <wp:extent cx="153719" cy="171449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719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8"/>
        </w:rPr>
      </w:r>
      <w:r>
        <w:rPr>
          <w:rFonts w:ascii="Times New Roman"/>
          <w:spacing w:val="80"/>
          <w:w w:val="105"/>
          <w:sz w:val="20"/>
        </w:rPr>
        <w:t> </w:t>
      </w:r>
      <w:hyperlink r:id="rId8">
        <w:r>
          <w:rPr>
            <w:color w:val="FFFFFF"/>
            <w:w w:val="105"/>
            <w:sz w:val="18"/>
          </w:rPr>
          <w:t>alejandro.duarte@example.com</w:t>
        </w:r>
      </w:hyperlink>
      <w:r>
        <w:rPr>
          <w:color w:val="FFFFFF"/>
          <w:w w:val="105"/>
          <w:sz w:val="18"/>
        </w:rPr>
        <w:t> </w:t>
      </w:r>
      <w:r>
        <w:rPr>
          <w:color w:val="FFFFFF"/>
          <w:position w:val="-9"/>
          <w:sz w:val="18"/>
        </w:rPr>
        <w:drawing>
          <wp:inline distT="0" distB="0" distL="0" distR="0">
            <wp:extent cx="175968" cy="177105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968" cy="17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FFFF"/>
          <w:position w:val="-9"/>
          <w:sz w:val="18"/>
        </w:rPr>
      </w:r>
      <w:r>
        <w:rPr>
          <w:rFonts w:ascii="Times New Roman"/>
          <w:color w:val="FFFFFF"/>
          <w:spacing w:val="80"/>
          <w:w w:val="105"/>
          <w:sz w:val="18"/>
        </w:rPr>
        <w:t> </w:t>
      </w:r>
      <w:r>
        <w:rPr>
          <w:color w:val="FFFFFF"/>
          <w:w w:val="105"/>
          <w:sz w:val="18"/>
        </w:rPr>
        <w:t>Providence, RI 12345</w:t>
      </w:r>
    </w:p>
    <w:p>
      <w:pPr>
        <w:pStyle w:val="Heading2"/>
        <w:spacing w:before="65"/>
      </w:pPr>
      <w:r>
        <w:rPr>
          <w:color w:val="FFFFFF"/>
          <w:spacing w:val="23"/>
        </w:rPr>
        <w:t>EDUCATION</w:t>
      </w:r>
    </w:p>
    <w:p>
      <w:pPr>
        <w:pStyle w:val="ListParagraph"/>
        <w:numPr>
          <w:ilvl w:val="0"/>
          <w:numId w:val="1"/>
        </w:numPr>
        <w:tabs>
          <w:tab w:pos="718" w:val="left" w:leader="none"/>
          <w:tab w:pos="720" w:val="left" w:leader="none"/>
        </w:tabs>
        <w:spacing w:line="216" w:lineRule="auto" w:before="173" w:after="0"/>
        <w:ind w:left="720" w:right="221" w:hanging="298"/>
        <w:jc w:val="left"/>
        <w:rPr>
          <w:sz w:val="18"/>
        </w:rPr>
      </w:pPr>
      <w:r>
        <w:rPr>
          <w:color w:val="FFFFFF"/>
          <w:w w:val="105"/>
          <w:sz w:val="18"/>
        </w:rPr>
        <w:t>M.S.</w:t>
      </w:r>
      <w:r>
        <w:rPr>
          <w:color w:val="FFFFFF"/>
          <w:spacing w:val="-3"/>
          <w:w w:val="105"/>
          <w:sz w:val="18"/>
        </w:rPr>
        <w:t> </w:t>
      </w:r>
      <w:r>
        <w:rPr>
          <w:color w:val="FFFFFF"/>
          <w:w w:val="105"/>
          <w:sz w:val="18"/>
        </w:rPr>
        <w:t>Taxation, Bryant University, </w:t>
      </w:r>
      <w:r>
        <w:rPr>
          <w:color w:val="FFFFFF"/>
          <w:spacing w:val="-4"/>
          <w:w w:val="105"/>
          <w:sz w:val="18"/>
        </w:rPr>
        <w:t>2013</w:t>
      </w:r>
    </w:p>
    <w:p>
      <w:pPr>
        <w:pStyle w:val="BodyText"/>
        <w:spacing w:before="81"/>
        <w:rPr>
          <w:sz w:val="18"/>
        </w:rPr>
      </w:pPr>
    </w:p>
    <w:p>
      <w:pPr>
        <w:pStyle w:val="ListParagraph"/>
        <w:numPr>
          <w:ilvl w:val="0"/>
          <w:numId w:val="1"/>
        </w:numPr>
        <w:tabs>
          <w:tab w:pos="718" w:val="left" w:leader="none"/>
          <w:tab w:pos="720" w:val="left" w:leader="none"/>
        </w:tabs>
        <w:spacing w:line="216" w:lineRule="auto" w:before="0" w:after="0"/>
        <w:ind w:left="720" w:right="462" w:hanging="298"/>
        <w:jc w:val="left"/>
        <w:rPr>
          <w:sz w:val="18"/>
        </w:rPr>
      </w:pPr>
      <w:r>
        <w:rPr>
          <w:color w:val="FFFFFF"/>
          <w:w w:val="105"/>
          <w:sz w:val="18"/>
        </w:rPr>
        <w:t>B.S.</w:t>
      </w:r>
      <w:r>
        <w:rPr>
          <w:color w:val="FFFFFF"/>
          <w:spacing w:val="-1"/>
          <w:w w:val="105"/>
          <w:sz w:val="18"/>
        </w:rPr>
        <w:t> </w:t>
      </w:r>
      <w:r>
        <w:rPr>
          <w:color w:val="FFFFFF"/>
          <w:w w:val="105"/>
          <w:sz w:val="18"/>
        </w:rPr>
        <w:t>Accounting, University of Rhode Island, 2011</w:t>
      </w:r>
    </w:p>
    <w:p>
      <w:pPr>
        <w:pStyle w:val="BodyText"/>
        <w:spacing w:before="66"/>
        <w:rPr>
          <w:sz w:val="18"/>
        </w:rPr>
      </w:pPr>
    </w:p>
    <w:p>
      <w:pPr>
        <w:pStyle w:val="ListParagraph"/>
        <w:numPr>
          <w:ilvl w:val="0"/>
          <w:numId w:val="1"/>
        </w:numPr>
        <w:tabs>
          <w:tab w:pos="718" w:val="left" w:leader="none"/>
          <w:tab w:pos="720" w:val="left" w:leader="none"/>
        </w:tabs>
        <w:spacing w:line="216" w:lineRule="auto" w:before="0" w:after="0"/>
        <w:ind w:left="720" w:right="38" w:hanging="298"/>
        <w:jc w:val="left"/>
        <w:rPr>
          <w:sz w:val="18"/>
        </w:rPr>
      </w:pPr>
      <w:r>
        <w:rPr>
          <w:color w:val="FFFFFF"/>
          <w:w w:val="105"/>
          <w:sz w:val="18"/>
        </w:rPr>
        <w:t>CPA, Rhode Island (active, license in good standing)</w:t>
      </w:r>
    </w:p>
    <w:p>
      <w:pPr>
        <w:pStyle w:val="Heading1"/>
      </w:pPr>
      <w:r>
        <w:rPr>
          <w:b w:val="0"/>
        </w:rPr>
        <w:br w:type="column"/>
      </w:r>
      <w:r>
        <w:rPr>
          <w:color w:val="B15E05"/>
          <w:spacing w:val="10"/>
        </w:rPr>
        <w:t>ALEJANDRO</w:t>
      </w:r>
    </w:p>
    <w:p>
      <w:pPr>
        <w:spacing w:before="4"/>
        <w:ind w:left="0" w:right="366" w:firstLine="0"/>
        <w:jc w:val="center"/>
        <w:rPr>
          <w:sz w:val="74"/>
        </w:rPr>
      </w:pPr>
      <w:r>
        <w:rPr>
          <w:color w:val="B15E05"/>
          <w:spacing w:val="7"/>
          <w:sz w:val="74"/>
        </w:rPr>
        <w:t>DUARTE</w:t>
      </w:r>
    </w:p>
    <w:p>
      <w:pPr>
        <w:pStyle w:val="Heading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2933699</wp:posOffset>
                </wp:positionH>
                <wp:positionV relativeFrom="paragraph">
                  <wp:posOffset>428420</wp:posOffset>
                </wp:positionV>
                <wp:extent cx="4634865" cy="272415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4634865" cy="272415"/>
                          <a:chExt cx="4634865" cy="27241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5446"/>
                            <a:ext cx="463486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4865" h="266700">
                                <a:moveTo>
                                  <a:pt x="4634483" y="266699"/>
                                </a:moveTo>
                                <a:lnTo>
                                  <a:pt x="0" y="266699"/>
                                </a:lnTo>
                                <a:lnTo>
                                  <a:pt x="0" y="0"/>
                                </a:lnTo>
                                <a:lnTo>
                                  <a:pt x="4634483" y="0"/>
                                </a:lnTo>
                                <a:lnTo>
                                  <a:pt x="4634483" y="266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53" y="0"/>
                            <a:ext cx="168910" cy="272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910" h="272415">
                                <a:moveTo>
                                  <a:pt x="0" y="0"/>
                                </a:moveTo>
                                <a:lnTo>
                                  <a:pt x="168401" y="0"/>
                                </a:lnTo>
                                <a:lnTo>
                                  <a:pt x="76279" y="147782"/>
                                </a:lnTo>
                                <a:lnTo>
                                  <a:pt x="0" y="2724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4303076" y="13224"/>
                            <a:ext cx="331470" cy="2590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470" h="259079">
                                <a:moveTo>
                                  <a:pt x="331407" y="258921"/>
                                </a:moveTo>
                                <a:lnTo>
                                  <a:pt x="0" y="258921"/>
                                </a:lnTo>
                                <a:lnTo>
                                  <a:pt x="176155" y="122478"/>
                                </a:lnTo>
                                <a:lnTo>
                                  <a:pt x="331407" y="0"/>
                                </a:lnTo>
                                <a:lnTo>
                                  <a:pt x="331407" y="2589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5E0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0" y="5446"/>
                            <a:ext cx="4634865" cy="266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6"/>
                                <w:ind w:left="0" w:right="516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24"/>
                                  <w:sz w:val="26"/>
                                </w:rPr>
                                <w:t>ABOUT</w:t>
                              </w:r>
                              <w:r>
                                <w:rPr>
                                  <w:b/>
                                  <w:color w:val="FFFFFF"/>
                                  <w:spacing w:val="67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8"/>
                                  <w:sz w:val="26"/>
                                </w:rPr>
                                <w:t>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0.999969pt;margin-top:33.733936pt;width:364.95pt;height:21.45pt;mso-position-horizontal-relative:page;mso-position-vertical-relative:paragraph;z-index:15729152" id="docshapegroup1" coordorigin="4620,675" coordsize="7299,429">
                <v:rect style="position:absolute;left:4620;top:683;width:7299;height:420" id="docshape2" filled="true" fillcolor="#424242" stroked="false">
                  <v:fill type="solid"/>
                </v:rect>
                <v:shape style="position:absolute;left:4620;top:674;width:266;height:429" id="docshape3" coordorigin="4620,675" coordsize="266,429" path="m4620,675l4886,675,4741,907,4620,1104,4620,675xe" filled="true" fillcolor="#ffffff" stroked="false">
                  <v:path arrowok="t"/>
                  <v:fill type="solid"/>
                </v:shape>
                <v:shape style="position:absolute;left:11396;top:695;width:522;height:408" id="docshape4" coordorigin="11396,696" coordsize="522,408" path="m11918,1103l11396,1103,11674,888,11918,696,11918,1103xe" filled="true" fillcolor="#b15e05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620;top:683;width:7299;height:420" type="#_x0000_t202" id="docshape5" filled="false" stroked="false">
                  <v:textbox inset="0,0,0,0">
                    <w:txbxContent>
                      <w:p>
                        <w:pPr>
                          <w:spacing w:before="56"/>
                          <w:ind w:left="0" w:right="516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pacing w:val="24"/>
                            <w:sz w:val="26"/>
                          </w:rPr>
                          <w:t>ABOUT</w:t>
                        </w:r>
                        <w:r>
                          <w:rPr>
                            <w:b/>
                            <w:color w:val="FFFFFF"/>
                            <w:spacing w:val="67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8"/>
                            <w:sz w:val="26"/>
                          </w:rPr>
                          <w:t>ME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B15E05"/>
        </w:rPr>
        <w:t>Tax</w:t>
      </w:r>
      <w:r>
        <w:rPr>
          <w:color w:val="B15E05"/>
          <w:spacing w:val="1"/>
        </w:rPr>
        <w:t> </w:t>
      </w:r>
      <w:r>
        <w:rPr>
          <w:color w:val="B15E05"/>
          <w:spacing w:val="-2"/>
        </w:rPr>
        <w:t>Manager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94"/>
        <w:rPr>
          <w:b/>
          <w:sz w:val="22"/>
        </w:rPr>
      </w:pPr>
    </w:p>
    <w:p>
      <w:pPr>
        <w:pStyle w:val="BodyText"/>
        <w:spacing w:line="292" w:lineRule="auto"/>
        <w:ind w:left="215" w:right="366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2933699</wp:posOffset>
                </wp:positionH>
                <wp:positionV relativeFrom="paragraph">
                  <wp:posOffset>699619</wp:posOffset>
                </wp:positionV>
                <wp:extent cx="4634865" cy="281940"/>
                <wp:effectExtent l="0" t="0" r="0" b="0"/>
                <wp:wrapNone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4634865" cy="281940"/>
                          <a:chExt cx="4634865" cy="28194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5447"/>
                            <a:ext cx="463486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4865" h="276225">
                                <a:moveTo>
                                  <a:pt x="4634483" y="276224"/>
                                </a:moveTo>
                                <a:lnTo>
                                  <a:pt x="0" y="276224"/>
                                </a:lnTo>
                                <a:lnTo>
                                  <a:pt x="0" y="0"/>
                                </a:lnTo>
                                <a:lnTo>
                                  <a:pt x="4634483" y="0"/>
                                </a:lnTo>
                                <a:lnTo>
                                  <a:pt x="4634483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253" y="0"/>
                            <a:ext cx="168910" cy="272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910" h="272415">
                                <a:moveTo>
                                  <a:pt x="0" y="0"/>
                                </a:moveTo>
                                <a:lnTo>
                                  <a:pt x="168401" y="0"/>
                                </a:lnTo>
                                <a:lnTo>
                                  <a:pt x="76279" y="147782"/>
                                </a:lnTo>
                                <a:lnTo>
                                  <a:pt x="0" y="2724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4295774" y="13224"/>
                            <a:ext cx="339090" cy="264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090" h="264795">
                                <a:moveTo>
                                  <a:pt x="338708" y="264577"/>
                                </a:moveTo>
                                <a:lnTo>
                                  <a:pt x="0" y="264577"/>
                                </a:lnTo>
                                <a:lnTo>
                                  <a:pt x="183457" y="122478"/>
                                </a:lnTo>
                                <a:lnTo>
                                  <a:pt x="338708" y="0"/>
                                </a:lnTo>
                                <a:lnTo>
                                  <a:pt x="338708" y="2645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5E0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0" y="5447"/>
                            <a:ext cx="4634865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6"/>
                                <w:ind w:left="0" w:right="516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28"/>
                                  <w:sz w:val="26"/>
                                </w:rPr>
                                <w:t>PROFESSIONAL</w:t>
                              </w:r>
                              <w:r>
                                <w:rPr>
                                  <w:b/>
                                  <w:color w:val="FFFFFF"/>
                                  <w:spacing w:val="6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25"/>
                                  <w:sz w:val="26"/>
                                </w:rPr>
                                <w:t>EXPERIENCE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0.999969pt;margin-top:55.088184pt;width:364.95pt;height:22.2pt;mso-position-horizontal-relative:page;mso-position-vertical-relative:paragraph;z-index:15729664" id="docshapegroup6" coordorigin="4620,1102" coordsize="7299,444">
                <v:rect style="position:absolute;left:4620;top:1110;width:7299;height:435" id="docshape7" filled="true" fillcolor="#424242" stroked="false">
                  <v:fill type="solid"/>
                </v:rect>
                <v:shape style="position:absolute;left:4620;top:1101;width:266;height:429" id="docshape8" coordorigin="4620,1102" coordsize="266,429" path="m4620,1102l4886,1102,4741,1334,4620,1531,4620,1102xe" filled="true" fillcolor="#ffffff" stroked="false">
                  <v:path arrowok="t"/>
                  <v:fill type="solid"/>
                </v:shape>
                <v:shape style="position:absolute;left:11385;top:1122;width:534;height:417" id="docshape9" coordorigin="11385,1123" coordsize="534,417" path="m11918,1539l11385,1539,11674,1315,11918,1123,11918,1539xe" filled="true" fillcolor="#b15e05" stroked="false">
                  <v:path arrowok="t"/>
                  <v:fill type="solid"/>
                </v:shape>
                <v:shape style="position:absolute;left:4620;top:1110;width:7299;height:435" type="#_x0000_t202" id="docshape10" filled="false" stroked="false">
                  <v:textbox inset="0,0,0,0">
                    <w:txbxContent>
                      <w:p>
                        <w:pPr>
                          <w:spacing w:before="56"/>
                          <w:ind w:left="0" w:right="516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pacing w:val="28"/>
                            <w:sz w:val="26"/>
                          </w:rPr>
                          <w:t>PROFESSIONAL</w:t>
                        </w:r>
                        <w:r>
                          <w:rPr>
                            <w:b/>
                            <w:color w:val="FFFFFF"/>
                            <w:spacing w:val="6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25"/>
                            <w:sz w:val="26"/>
                          </w:rPr>
                          <w:t>EXPERIENCE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</w:rPr>
        <w:t>Tax</w:t>
      </w:r>
      <w:r>
        <w:rPr>
          <w:spacing w:val="26"/>
          <w:w w:val="105"/>
        </w:rPr>
        <w:t> </w:t>
      </w:r>
      <w:r>
        <w:rPr>
          <w:w w:val="105"/>
        </w:rPr>
        <w:t>Manager</w:t>
      </w:r>
      <w:r>
        <w:rPr>
          <w:spacing w:val="26"/>
          <w:w w:val="105"/>
        </w:rPr>
        <w:t> </w:t>
      </w:r>
      <w:r>
        <w:rPr>
          <w:w w:val="105"/>
        </w:rPr>
        <w:t>and</w:t>
      </w:r>
      <w:r>
        <w:rPr>
          <w:spacing w:val="26"/>
          <w:w w:val="105"/>
        </w:rPr>
        <w:t> </w:t>
      </w:r>
      <w:r>
        <w:rPr>
          <w:w w:val="105"/>
        </w:rPr>
        <w:t>licensed</w:t>
      </w:r>
      <w:r>
        <w:rPr>
          <w:spacing w:val="26"/>
          <w:w w:val="105"/>
        </w:rPr>
        <w:t> </w:t>
      </w:r>
      <w:r>
        <w:rPr>
          <w:w w:val="105"/>
        </w:rPr>
        <w:t>CPA</w:t>
      </w:r>
      <w:r>
        <w:rPr>
          <w:spacing w:val="26"/>
          <w:w w:val="105"/>
        </w:rPr>
        <w:t> </w:t>
      </w:r>
      <w:r>
        <w:rPr>
          <w:w w:val="105"/>
        </w:rPr>
        <w:t>with</w:t>
      </w:r>
      <w:r>
        <w:rPr>
          <w:spacing w:val="26"/>
          <w:w w:val="105"/>
        </w:rPr>
        <w:t> </w:t>
      </w:r>
      <w:r>
        <w:rPr>
          <w:w w:val="105"/>
        </w:rPr>
        <w:t>14</w:t>
      </w:r>
      <w:r>
        <w:rPr>
          <w:spacing w:val="26"/>
          <w:w w:val="105"/>
        </w:rPr>
        <w:t> </w:t>
      </w:r>
      <w:r>
        <w:rPr>
          <w:w w:val="105"/>
        </w:rPr>
        <w:t>years</w:t>
      </w:r>
      <w:r>
        <w:rPr>
          <w:spacing w:val="26"/>
          <w:w w:val="105"/>
        </w:rPr>
        <w:t> </w:t>
      </w:r>
      <w:r>
        <w:rPr>
          <w:w w:val="105"/>
        </w:rPr>
        <w:t>in</w:t>
      </w:r>
      <w:r>
        <w:rPr>
          <w:spacing w:val="26"/>
          <w:w w:val="105"/>
        </w:rPr>
        <w:t> </w:t>
      </w:r>
      <w:r>
        <w:rPr>
          <w:w w:val="105"/>
        </w:rPr>
        <w:t>public</w:t>
      </w:r>
      <w:r>
        <w:rPr>
          <w:spacing w:val="26"/>
          <w:w w:val="105"/>
        </w:rPr>
        <w:t> </w:t>
      </w:r>
      <w:r>
        <w:rPr>
          <w:w w:val="105"/>
        </w:rPr>
        <w:t>accounting,</w:t>
      </w:r>
      <w:r>
        <w:rPr>
          <w:spacing w:val="26"/>
          <w:w w:val="105"/>
        </w:rPr>
        <w:t> </w:t>
      </w:r>
      <w:r>
        <w:rPr>
          <w:w w:val="105"/>
        </w:rPr>
        <w:t>leading</w:t>
      </w:r>
      <w:r>
        <w:rPr>
          <w:spacing w:val="26"/>
          <w:w w:val="105"/>
        </w:rPr>
        <w:t> </w:t>
      </w:r>
      <w:r>
        <w:rPr>
          <w:w w:val="105"/>
        </w:rPr>
        <w:t>individual and</w:t>
      </w:r>
      <w:r>
        <w:rPr>
          <w:spacing w:val="32"/>
          <w:w w:val="105"/>
        </w:rPr>
        <w:t> </w:t>
      </w:r>
      <w:r>
        <w:rPr>
          <w:w w:val="105"/>
        </w:rPr>
        <w:t>small-business</w:t>
      </w:r>
      <w:r>
        <w:rPr>
          <w:spacing w:val="32"/>
          <w:w w:val="105"/>
        </w:rPr>
        <w:t> </w:t>
      </w:r>
      <w:r>
        <w:rPr>
          <w:w w:val="105"/>
        </w:rPr>
        <w:t>tax</w:t>
      </w:r>
      <w:r>
        <w:rPr>
          <w:spacing w:val="32"/>
          <w:w w:val="105"/>
        </w:rPr>
        <w:t> </w:t>
      </w:r>
      <w:r>
        <w:rPr>
          <w:w w:val="105"/>
        </w:rPr>
        <w:t>practices</w:t>
      </w:r>
      <w:r>
        <w:rPr>
          <w:spacing w:val="32"/>
          <w:w w:val="105"/>
        </w:rPr>
        <w:t> </w:t>
      </w:r>
      <w:r>
        <w:rPr>
          <w:w w:val="105"/>
        </w:rPr>
        <w:t>at</w:t>
      </w:r>
      <w:r>
        <w:rPr>
          <w:spacing w:val="32"/>
          <w:w w:val="105"/>
        </w:rPr>
        <w:t> </w:t>
      </w:r>
      <w:r>
        <w:rPr>
          <w:w w:val="105"/>
        </w:rPr>
        <w:t>regional</w:t>
      </w:r>
      <w:r>
        <w:rPr>
          <w:spacing w:val="32"/>
          <w:w w:val="105"/>
        </w:rPr>
        <w:t> </w:t>
      </w:r>
      <w:r>
        <w:rPr>
          <w:w w:val="105"/>
        </w:rPr>
        <w:t>firms.</w:t>
      </w:r>
      <w:r>
        <w:rPr>
          <w:spacing w:val="32"/>
          <w:w w:val="105"/>
        </w:rPr>
        <w:t> </w:t>
      </w:r>
      <w:r>
        <w:rPr>
          <w:w w:val="105"/>
        </w:rPr>
        <w:t>Runs</w:t>
      </w:r>
      <w:r>
        <w:rPr>
          <w:spacing w:val="32"/>
          <w:w w:val="105"/>
        </w:rPr>
        <w:t> </w:t>
      </w:r>
      <w:r>
        <w:rPr>
          <w:w w:val="105"/>
        </w:rPr>
        <w:t>seasonal</w:t>
      </w:r>
      <w:r>
        <w:rPr>
          <w:spacing w:val="32"/>
          <w:w w:val="105"/>
        </w:rPr>
        <w:t> </w:t>
      </w:r>
      <w:r>
        <w:rPr>
          <w:w w:val="105"/>
        </w:rPr>
        <w:t>teams</w:t>
      </w:r>
      <w:r>
        <w:rPr>
          <w:spacing w:val="32"/>
          <w:w w:val="105"/>
        </w:rPr>
        <w:t> </w:t>
      </w:r>
      <w:r>
        <w:rPr>
          <w:w w:val="105"/>
        </w:rPr>
        <w:t>of</w:t>
      </w:r>
      <w:r>
        <w:rPr>
          <w:spacing w:val="32"/>
          <w:w w:val="105"/>
        </w:rPr>
        <w:t> </w:t>
      </w:r>
      <w:r>
        <w:rPr>
          <w:w w:val="105"/>
        </w:rPr>
        <w:t>6</w:t>
      </w:r>
      <w:r>
        <w:rPr>
          <w:spacing w:val="32"/>
          <w:w w:val="105"/>
        </w:rPr>
        <w:t> </w:t>
      </w:r>
      <w:r>
        <w:rPr>
          <w:w w:val="105"/>
        </w:rPr>
        <w:t>to</w:t>
      </w:r>
      <w:r>
        <w:rPr>
          <w:spacing w:val="32"/>
          <w:w w:val="105"/>
        </w:rPr>
        <w:t> </w:t>
      </w:r>
      <w:r>
        <w:rPr>
          <w:w w:val="105"/>
        </w:rPr>
        <w:t>10 preparers</w:t>
      </w:r>
      <w:r>
        <w:rPr>
          <w:spacing w:val="36"/>
          <w:w w:val="105"/>
        </w:rPr>
        <w:t> </w:t>
      </w:r>
      <w:r>
        <w:rPr>
          <w:w w:val="105"/>
        </w:rPr>
        <w:t>and</w:t>
      </w:r>
      <w:r>
        <w:rPr>
          <w:spacing w:val="36"/>
          <w:w w:val="105"/>
        </w:rPr>
        <w:t> </w:t>
      </w:r>
      <w:r>
        <w:rPr>
          <w:w w:val="105"/>
        </w:rPr>
        <w:t>reviewers,</w:t>
      </w:r>
      <w:r>
        <w:rPr>
          <w:spacing w:val="36"/>
          <w:w w:val="105"/>
        </w:rPr>
        <w:t> </w:t>
      </w:r>
      <w:r>
        <w:rPr>
          <w:w w:val="105"/>
        </w:rPr>
        <w:t>owns</w:t>
      </w:r>
      <w:r>
        <w:rPr>
          <w:spacing w:val="36"/>
          <w:w w:val="105"/>
        </w:rPr>
        <w:t> </w:t>
      </w:r>
      <w:r>
        <w:rPr>
          <w:w w:val="105"/>
        </w:rPr>
        <w:t>the</w:t>
      </w:r>
      <w:r>
        <w:rPr>
          <w:spacing w:val="36"/>
          <w:w w:val="105"/>
        </w:rPr>
        <w:t> </w:t>
      </w:r>
      <w:r>
        <w:rPr>
          <w:w w:val="105"/>
        </w:rPr>
        <w:t>technical</w:t>
      </w:r>
      <w:r>
        <w:rPr>
          <w:spacing w:val="36"/>
          <w:w w:val="105"/>
        </w:rPr>
        <w:t> </w:t>
      </w:r>
      <w:r>
        <w:rPr>
          <w:w w:val="105"/>
        </w:rPr>
        <w:t>review</w:t>
      </w:r>
      <w:r>
        <w:rPr>
          <w:spacing w:val="36"/>
          <w:w w:val="105"/>
        </w:rPr>
        <w:t> </w:t>
      </w:r>
      <w:r>
        <w:rPr>
          <w:w w:val="105"/>
        </w:rPr>
        <w:t>queue,</w:t>
      </w:r>
      <w:r>
        <w:rPr>
          <w:spacing w:val="36"/>
          <w:w w:val="105"/>
        </w:rPr>
        <w:t> </w:t>
      </w:r>
      <w:r>
        <w:rPr>
          <w:w w:val="105"/>
        </w:rPr>
        <w:t>and</w:t>
      </w:r>
      <w:r>
        <w:rPr>
          <w:spacing w:val="36"/>
          <w:w w:val="105"/>
        </w:rPr>
        <w:t> </w:t>
      </w:r>
      <w:r>
        <w:rPr>
          <w:w w:val="105"/>
        </w:rPr>
        <w:t>manages</w:t>
      </w:r>
      <w:r>
        <w:rPr>
          <w:spacing w:val="36"/>
          <w:w w:val="105"/>
        </w:rPr>
        <w:t> </w:t>
      </w:r>
      <w:r>
        <w:rPr>
          <w:w w:val="105"/>
        </w:rPr>
        <w:t>a</w:t>
      </w:r>
      <w:r>
        <w:rPr>
          <w:spacing w:val="36"/>
          <w:w w:val="105"/>
        </w:rPr>
        <w:t> </w:t>
      </w:r>
      <w:r>
        <w:rPr>
          <w:w w:val="105"/>
        </w:rPr>
        <w:t>book</w:t>
      </w:r>
      <w:r>
        <w:rPr>
          <w:spacing w:val="36"/>
          <w:w w:val="105"/>
        </w:rPr>
        <w:t> </w:t>
      </w:r>
      <w:r>
        <w:rPr>
          <w:w w:val="105"/>
        </w:rPr>
        <w:t>of complex</w:t>
      </w:r>
      <w:r>
        <w:rPr>
          <w:spacing w:val="40"/>
          <w:w w:val="105"/>
        </w:rPr>
        <w:t> </w:t>
      </w:r>
      <w:r>
        <w:rPr>
          <w:w w:val="105"/>
        </w:rPr>
        <w:t>1040,</w:t>
      </w:r>
      <w:r>
        <w:rPr>
          <w:spacing w:val="40"/>
          <w:w w:val="105"/>
        </w:rPr>
        <w:t> </w:t>
      </w:r>
      <w:r>
        <w:rPr>
          <w:w w:val="105"/>
        </w:rPr>
        <w:t>1065,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1120-S</w:t>
      </w:r>
      <w:r>
        <w:rPr>
          <w:spacing w:val="40"/>
          <w:w w:val="105"/>
        </w:rPr>
        <w:t> </w:t>
      </w:r>
      <w:r>
        <w:rPr>
          <w:w w:val="105"/>
        </w:rPr>
        <w:t>clients</w:t>
      </w:r>
      <w:r>
        <w:rPr>
          <w:spacing w:val="40"/>
          <w:w w:val="105"/>
        </w:rPr>
        <w:t> </w:t>
      </w:r>
      <w:r>
        <w:rPr>
          <w:w w:val="105"/>
        </w:rPr>
        <w:t>across</w:t>
      </w:r>
      <w:r>
        <w:rPr>
          <w:spacing w:val="40"/>
          <w:w w:val="105"/>
        </w:rPr>
        <w:t> </w:t>
      </w:r>
      <w:r>
        <w:rPr>
          <w:w w:val="105"/>
        </w:rPr>
        <w:t>New</w:t>
      </w:r>
      <w:r>
        <w:rPr>
          <w:spacing w:val="40"/>
          <w:w w:val="105"/>
        </w:rPr>
        <w:t> </w:t>
      </w:r>
      <w:r>
        <w:rPr>
          <w:w w:val="105"/>
        </w:rPr>
        <w:t>England.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4"/>
      </w:pPr>
    </w:p>
    <w:p>
      <w:pPr>
        <w:pStyle w:val="BodyText"/>
        <w:ind w:left="107"/>
      </w:pPr>
      <w:r>
        <w:rPr>
          <w:w w:val="105"/>
        </w:rPr>
        <w:t>Tax</w:t>
      </w:r>
      <w:r>
        <w:rPr>
          <w:spacing w:val="12"/>
          <w:w w:val="105"/>
        </w:rPr>
        <w:t> </w:t>
      </w:r>
      <w:r>
        <w:rPr>
          <w:w w:val="105"/>
        </w:rPr>
        <w:t>Manager</w:t>
      </w:r>
      <w:r>
        <w:rPr>
          <w:spacing w:val="18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19"/>
          <w:w w:val="105"/>
          <w:position w:val="2"/>
        </w:rPr>
        <w:t> </w:t>
      </w:r>
      <w:r>
        <w:rPr>
          <w:w w:val="105"/>
        </w:rPr>
        <w:t>Narragansett</w:t>
      </w:r>
      <w:r>
        <w:rPr>
          <w:spacing w:val="9"/>
          <w:w w:val="105"/>
        </w:rPr>
        <w:t> </w:t>
      </w:r>
      <w:r>
        <w:rPr>
          <w:w w:val="105"/>
        </w:rPr>
        <w:t>Tax</w:t>
      </w:r>
      <w:r>
        <w:rPr>
          <w:spacing w:val="12"/>
          <w:w w:val="105"/>
        </w:rPr>
        <w:t> </w:t>
      </w:r>
      <w:r>
        <w:rPr>
          <w:w w:val="105"/>
        </w:rPr>
        <w:t>Partners,</w:t>
      </w:r>
      <w:r>
        <w:rPr>
          <w:spacing w:val="12"/>
          <w:w w:val="105"/>
        </w:rPr>
        <w:t> </w:t>
      </w:r>
      <w:r>
        <w:rPr>
          <w:w w:val="105"/>
        </w:rPr>
        <w:t>Providence,</w:t>
      </w:r>
      <w:r>
        <w:rPr>
          <w:spacing w:val="12"/>
          <w:w w:val="105"/>
        </w:rPr>
        <w:t> </w:t>
      </w:r>
      <w:r>
        <w:rPr>
          <w:spacing w:val="-5"/>
          <w:w w:val="105"/>
        </w:rPr>
        <w:t>RI</w:t>
      </w:r>
    </w:p>
    <w:p>
      <w:pPr>
        <w:pStyle w:val="BodyText"/>
        <w:spacing w:before="38"/>
        <w:ind w:left="107"/>
      </w:pPr>
      <w:r>
        <w:rPr/>
        <w:t>2020</w:t>
      </w:r>
      <w:r>
        <w:rPr>
          <w:spacing w:val="17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-2"/>
        </w:rPr>
        <w:t>Present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  <w:tab w:pos="832" w:val="left" w:leader="none"/>
        </w:tabs>
        <w:spacing w:line="196" w:lineRule="auto" w:before="107" w:after="0"/>
        <w:ind w:left="832" w:right="334" w:hanging="298"/>
        <w:jc w:val="left"/>
        <w:rPr>
          <w:sz w:val="16"/>
        </w:rPr>
      </w:pPr>
      <w:r>
        <w:rPr>
          <w:w w:val="105"/>
          <w:sz w:val="16"/>
        </w:rPr>
        <w:t>Manage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seasonal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team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9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(2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seniors,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5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preparers,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2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admin)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responsible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for roughly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2,600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returns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season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across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1040,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1065,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1120-S.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  <w:tab w:pos="832" w:val="left" w:leader="none"/>
        </w:tabs>
        <w:spacing w:line="196" w:lineRule="auto" w:before="97" w:after="0"/>
        <w:ind w:left="832" w:right="683" w:hanging="298"/>
        <w:jc w:val="left"/>
        <w:rPr>
          <w:sz w:val="16"/>
        </w:rPr>
      </w:pPr>
      <w:r>
        <w:rPr>
          <w:w w:val="105"/>
          <w:sz w:val="16"/>
        </w:rPr>
        <w:t>Own final review on all pass-through returns above $2M in revenue and all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1040s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foreign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account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reporting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requirements.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  <w:tab w:pos="832" w:val="left" w:leader="none"/>
        </w:tabs>
        <w:spacing w:line="196" w:lineRule="auto" w:before="112" w:after="0"/>
        <w:ind w:left="832" w:right="516" w:hanging="298"/>
        <w:jc w:val="left"/>
        <w:rPr>
          <w:sz w:val="16"/>
        </w:rPr>
      </w:pPr>
      <w:r>
        <w:rPr>
          <w:w w:val="105"/>
          <w:sz w:val="16"/>
        </w:rPr>
        <w:t>Rebuilt the review workflow in the firm's tax software, cutting average time in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review status from 6.2 days to 3.8 days over one season.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  <w:tab w:pos="832" w:val="left" w:leader="none"/>
        </w:tabs>
        <w:spacing w:line="208" w:lineRule="auto" w:before="85" w:after="0"/>
        <w:ind w:left="832" w:right="315" w:hanging="298"/>
        <w:jc w:val="left"/>
        <w:rPr>
          <w:sz w:val="16"/>
        </w:rPr>
      </w:pPr>
      <w:r>
        <w:rPr>
          <w:w w:val="105"/>
          <w:sz w:val="16"/>
        </w:rPr>
        <w:t>Grew the firm's tax revenue from about $1.9M to $3.1M over four years through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client referrals and a rental-portfolio niche.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  <w:tab w:pos="832" w:val="left" w:leader="none"/>
        </w:tabs>
        <w:spacing w:line="196" w:lineRule="auto" w:before="96" w:after="0"/>
        <w:ind w:left="832" w:right="601" w:hanging="298"/>
        <w:jc w:val="left"/>
        <w:rPr>
          <w:sz w:val="16"/>
        </w:rPr>
      </w:pPr>
      <w:r>
        <w:rPr>
          <w:w w:val="105"/>
          <w:sz w:val="16"/>
        </w:rPr>
        <w:t>Represent clients in IRS and RI Division of Taxation examinations, closing a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2023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residency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audit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no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additional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tax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assessed.</w:t>
      </w:r>
    </w:p>
    <w:p>
      <w:pPr>
        <w:pStyle w:val="BodyText"/>
        <w:spacing w:before="85"/>
      </w:pPr>
    </w:p>
    <w:p>
      <w:pPr>
        <w:pStyle w:val="BodyText"/>
        <w:ind w:left="107"/>
      </w:pPr>
      <w:r>
        <w:rPr>
          <w:w w:val="105"/>
        </w:rPr>
        <w:t>Senior</w:t>
      </w:r>
      <w:r>
        <w:rPr>
          <w:spacing w:val="7"/>
          <w:w w:val="105"/>
        </w:rPr>
        <w:t> </w:t>
      </w:r>
      <w:r>
        <w:rPr>
          <w:w w:val="105"/>
        </w:rPr>
        <w:t>Tax</w:t>
      </w:r>
      <w:r>
        <w:rPr>
          <w:spacing w:val="11"/>
          <w:w w:val="105"/>
        </w:rPr>
        <w:t> </w:t>
      </w:r>
      <w:r>
        <w:rPr>
          <w:w w:val="105"/>
        </w:rPr>
        <w:t>Manager</w:t>
      </w:r>
      <w:r>
        <w:rPr>
          <w:spacing w:val="11"/>
          <w:w w:val="105"/>
        </w:rPr>
        <w:t> </w:t>
      </w:r>
      <w:r>
        <w:rPr>
          <w:w w:val="105"/>
        </w:rPr>
        <w:t>(Acting)</w:t>
      </w:r>
      <w:r>
        <w:rPr>
          <w:spacing w:val="18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17"/>
          <w:w w:val="105"/>
          <w:position w:val="2"/>
        </w:rPr>
        <w:t> </w:t>
      </w:r>
      <w:r>
        <w:rPr>
          <w:w w:val="105"/>
        </w:rPr>
        <w:t>Bay</w:t>
      </w:r>
      <w:r>
        <w:rPr>
          <w:spacing w:val="11"/>
          <w:w w:val="105"/>
        </w:rPr>
        <w:t> </w:t>
      </w:r>
      <w:r>
        <w:rPr>
          <w:w w:val="105"/>
        </w:rPr>
        <w:t>State</w:t>
      </w:r>
      <w:r>
        <w:rPr>
          <w:spacing w:val="1"/>
          <w:w w:val="105"/>
        </w:rPr>
        <w:t> </w:t>
      </w:r>
      <w:r>
        <w:rPr>
          <w:w w:val="105"/>
        </w:rPr>
        <w:t>Advisory</w:t>
      </w:r>
      <w:r>
        <w:rPr>
          <w:spacing w:val="11"/>
          <w:w w:val="105"/>
        </w:rPr>
        <w:t> </w:t>
      </w:r>
      <w:r>
        <w:rPr>
          <w:w w:val="105"/>
        </w:rPr>
        <w:t>CPAs,</w:t>
      </w:r>
      <w:r>
        <w:rPr>
          <w:spacing w:val="11"/>
          <w:w w:val="105"/>
        </w:rPr>
        <w:t> </w:t>
      </w:r>
      <w:r>
        <w:rPr>
          <w:w w:val="105"/>
        </w:rPr>
        <w:t>Fall</w:t>
      </w:r>
      <w:r>
        <w:rPr>
          <w:spacing w:val="11"/>
          <w:w w:val="105"/>
        </w:rPr>
        <w:t> </w:t>
      </w:r>
      <w:r>
        <w:rPr>
          <w:w w:val="105"/>
        </w:rPr>
        <w:t>River,</w:t>
      </w:r>
      <w:r>
        <w:rPr>
          <w:spacing w:val="11"/>
          <w:w w:val="105"/>
        </w:rPr>
        <w:t> </w:t>
      </w:r>
      <w:r>
        <w:rPr>
          <w:spacing w:val="-5"/>
          <w:w w:val="105"/>
        </w:rPr>
        <w:t>MA</w:t>
      </w:r>
    </w:p>
    <w:p>
      <w:pPr>
        <w:pStyle w:val="BodyText"/>
        <w:spacing w:before="38"/>
        <w:ind w:left="107"/>
      </w:pPr>
      <w:r>
        <w:rPr/>
        <w:t>2017</w:t>
      </w:r>
      <w:r>
        <w:rPr>
          <w:spacing w:val="17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-4"/>
        </w:rPr>
        <w:t>2020</w:t>
      </w:r>
    </w:p>
    <w:p>
      <w:pPr>
        <w:pStyle w:val="BodyText"/>
        <w:spacing w:after="0"/>
        <w:sectPr>
          <w:type w:val="continuous"/>
          <w:pgSz w:w="11920" w:h="16860"/>
          <w:pgMar w:top="0" w:bottom="0" w:left="283" w:right="0"/>
          <w:cols w:num="2" w:equalWidth="0">
            <w:col w:w="3732" w:space="583"/>
            <w:col w:w="7322"/>
          </w:cols>
        </w:sectPr>
      </w:pPr>
    </w:p>
    <w:p>
      <w:pPr>
        <w:pStyle w:val="Heading2"/>
        <w:spacing w:before="64"/>
      </w:pPr>
      <w:r>
        <w:rPr>
          <w:color w:val="FFFFFF"/>
          <w:spacing w:val="20"/>
        </w:rPr>
        <w:t>KEY</w:t>
      </w:r>
      <w:r>
        <w:rPr>
          <w:color w:val="FFFFFF"/>
          <w:spacing w:val="53"/>
        </w:rPr>
        <w:t> </w:t>
      </w:r>
      <w:r>
        <w:rPr>
          <w:color w:val="FFFFFF"/>
          <w:spacing w:val="23"/>
        </w:rPr>
        <w:t>SKILLS</w:t>
      </w:r>
    </w:p>
    <w:p>
      <w:pPr>
        <w:pStyle w:val="ListParagraph"/>
        <w:numPr>
          <w:ilvl w:val="0"/>
          <w:numId w:val="1"/>
        </w:numPr>
        <w:tabs>
          <w:tab w:pos="718" w:val="left" w:leader="none"/>
          <w:tab w:pos="720" w:val="left" w:leader="none"/>
        </w:tabs>
        <w:spacing w:line="216" w:lineRule="auto" w:before="174" w:after="0"/>
        <w:ind w:left="720" w:right="542" w:hanging="298"/>
        <w:jc w:val="left"/>
        <w:rPr>
          <w:sz w:val="18"/>
        </w:rPr>
      </w:pPr>
      <w:r>
        <w:rPr>
          <w:color w:val="FFFFFF"/>
          <w:w w:val="105"/>
          <w:sz w:val="18"/>
        </w:rPr>
        <w:t>Team</w:t>
      </w:r>
      <w:r>
        <w:rPr>
          <w:color w:val="FFFFFF"/>
          <w:spacing w:val="-1"/>
          <w:w w:val="105"/>
          <w:sz w:val="18"/>
        </w:rPr>
        <w:t> </w:t>
      </w:r>
      <w:r>
        <w:rPr>
          <w:color w:val="FFFFFF"/>
          <w:w w:val="105"/>
          <w:sz w:val="18"/>
        </w:rPr>
        <w:t>leadership</w:t>
      </w:r>
      <w:r>
        <w:rPr>
          <w:color w:val="FFFFFF"/>
          <w:spacing w:val="-1"/>
          <w:w w:val="105"/>
          <w:sz w:val="18"/>
        </w:rPr>
        <w:t> </w:t>
      </w:r>
      <w:r>
        <w:rPr>
          <w:color w:val="FFFFFF"/>
          <w:w w:val="105"/>
          <w:sz w:val="18"/>
        </w:rPr>
        <w:t>and</w:t>
      </w:r>
      <w:r>
        <w:rPr>
          <w:color w:val="FFFFFF"/>
          <w:spacing w:val="-1"/>
          <w:w w:val="105"/>
          <w:sz w:val="18"/>
        </w:rPr>
        <w:t> </w:t>
      </w:r>
      <w:r>
        <w:rPr>
          <w:color w:val="FFFFFF"/>
          <w:w w:val="105"/>
          <w:sz w:val="18"/>
        </w:rPr>
        <w:t>review </w:t>
      </w:r>
      <w:r>
        <w:rPr>
          <w:color w:val="FFFFFF"/>
          <w:spacing w:val="-2"/>
          <w:w w:val="105"/>
          <w:sz w:val="18"/>
        </w:rPr>
        <w:t>management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51" w:lineRule="exact" w:before="69" w:after="0"/>
        <w:ind w:left="719" w:right="0" w:hanging="296"/>
        <w:jc w:val="left"/>
        <w:rPr>
          <w:sz w:val="18"/>
        </w:rPr>
      </w:pPr>
      <w:r>
        <w:rPr>
          <w:color w:val="FFFFFF"/>
          <w:w w:val="105"/>
          <w:sz w:val="18"/>
        </w:rPr>
        <w:t>1040,</w:t>
      </w:r>
      <w:r>
        <w:rPr>
          <w:color w:val="FFFFFF"/>
          <w:spacing w:val="6"/>
          <w:w w:val="105"/>
          <w:sz w:val="18"/>
        </w:rPr>
        <w:t> </w:t>
      </w:r>
      <w:r>
        <w:rPr>
          <w:color w:val="FFFFFF"/>
          <w:w w:val="105"/>
          <w:sz w:val="18"/>
        </w:rPr>
        <w:t>1065,</w:t>
      </w:r>
      <w:r>
        <w:rPr>
          <w:color w:val="FFFFFF"/>
          <w:spacing w:val="6"/>
          <w:w w:val="105"/>
          <w:sz w:val="18"/>
        </w:rPr>
        <w:t> </w:t>
      </w:r>
      <w:r>
        <w:rPr>
          <w:color w:val="FFFFFF"/>
          <w:w w:val="105"/>
          <w:sz w:val="18"/>
        </w:rPr>
        <w:t>1120-S,</w:t>
      </w:r>
      <w:r>
        <w:rPr>
          <w:color w:val="FFFFFF"/>
          <w:spacing w:val="6"/>
          <w:w w:val="105"/>
          <w:sz w:val="18"/>
        </w:rPr>
        <w:t> </w:t>
      </w:r>
      <w:r>
        <w:rPr>
          <w:color w:val="FFFFFF"/>
          <w:w w:val="105"/>
          <w:sz w:val="18"/>
        </w:rPr>
        <w:t>1041</w:t>
      </w:r>
      <w:r>
        <w:rPr>
          <w:color w:val="FFFFFF"/>
          <w:spacing w:val="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review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45" w:lineRule="exact" w:before="0" w:after="0"/>
        <w:ind w:left="719" w:right="0" w:hanging="296"/>
        <w:jc w:val="left"/>
        <w:rPr>
          <w:sz w:val="18"/>
        </w:rPr>
      </w:pPr>
      <w:r>
        <w:rPr>
          <w:color w:val="FFFFFF"/>
          <w:w w:val="105"/>
          <w:sz w:val="18"/>
        </w:rPr>
        <w:t>Multi-state</w:t>
      </w:r>
      <w:r>
        <w:rPr>
          <w:color w:val="FFFFFF"/>
          <w:spacing w:val="12"/>
          <w:w w:val="105"/>
          <w:sz w:val="18"/>
        </w:rPr>
        <w:t> </w:t>
      </w:r>
      <w:r>
        <w:rPr>
          <w:color w:val="FFFFFF"/>
          <w:w w:val="105"/>
          <w:sz w:val="18"/>
        </w:rPr>
        <w:t>and</w:t>
      </w:r>
      <w:r>
        <w:rPr>
          <w:color w:val="FFFFFF"/>
          <w:spacing w:val="13"/>
          <w:w w:val="105"/>
          <w:sz w:val="18"/>
        </w:rPr>
        <w:t> </w:t>
      </w:r>
      <w:r>
        <w:rPr>
          <w:color w:val="FFFFFF"/>
          <w:w w:val="105"/>
          <w:sz w:val="18"/>
        </w:rPr>
        <w:t>residency</w:t>
      </w:r>
      <w:r>
        <w:rPr>
          <w:color w:val="FFFFFF"/>
          <w:spacing w:val="14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analysis</w:t>
      </w:r>
    </w:p>
    <w:p>
      <w:pPr>
        <w:pStyle w:val="ListParagraph"/>
        <w:numPr>
          <w:ilvl w:val="0"/>
          <w:numId w:val="1"/>
        </w:numPr>
        <w:tabs>
          <w:tab w:pos="718" w:val="left" w:leader="none"/>
          <w:tab w:pos="720" w:val="left" w:leader="none"/>
        </w:tabs>
        <w:spacing w:line="216" w:lineRule="auto" w:before="18" w:after="0"/>
        <w:ind w:left="720" w:right="366" w:hanging="298"/>
        <w:jc w:val="left"/>
        <w:rPr>
          <w:sz w:val="18"/>
        </w:rPr>
      </w:pPr>
      <w:r>
        <w:rPr>
          <w:color w:val="FFFFFF"/>
          <w:w w:val="105"/>
          <w:sz w:val="18"/>
        </w:rPr>
        <w:t>Foreign reporting (Form 8938, FinCEN 114)</w:t>
      </w:r>
    </w:p>
    <w:p>
      <w:pPr>
        <w:pStyle w:val="ListParagraph"/>
        <w:numPr>
          <w:ilvl w:val="0"/>
          <w:numId w:val="1"/>
        </w:numPr>
        <w:tabs>
          <w:tab w:pos="718" w:val="left" w:leader="none"/>
          <w:tab w:pos="720" w:val="left" w:leader="none"/>
        </w:tabs>
        <w:spacing w:line="216" w:lineRule="auto" w:before="93" w:after="0"/>
        <w:ind w:left="720" w:right="839" w:hanging="298"/>
        <w:jc w:val="left"/>
        <w:rPr>
          <w:sz w:val="18"/>
        </w:rPr>
      </w:pPr>
      <w:r>
        <w:rPr>
          <w:color w:val="FFFFFF"/>
          <w:w w:val="105"/>
          <w:sz w:val="18"/>
        </w:rPr>
        <w:t>Firm tax preparation and engagement platforms,</w:t>
      </w:r>
    </w:p>
    <w:p>
      <w:pPr>
        <w:spacing w:before="51"/>
        <w:ind w:left="720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GoFileRoom</w:t>
      </w:r>
    </w:p>
    <w:p>
      <w:pPr>
        <w:pStyle w:val="ListParagraph"/>
        <w:numPr>
          <w:ilvl w:val="0"/>
          <w:numId w:val="2"/>
        </w:numPr>
        <w:tabs>
          <w:tab w:pos="402" w:val="left" w:leader="none"/>
          <w:tab w:pos="404" w:val="left" w:leader="none"/>
        </w:tabs>
        <w:spacing w:line="196" w:lineRule="auto" w:before="107" w:after="0"/>
        <w:ind w:left="404" w:right="563" w:hanging="298"/>
        <w:jc w:val="left"/>
        <w:rPr>
          <w:sz w:val="16"/>
        </w:rPr>
      </w:pPr>
      <w:r>
        <w:rPr/>
        <w:br w:type="column"/>
      </w:r>
      <w:r>
        <w:rPr>
          <w:w w:val="105"/>
          <w:sz w:val="16"/>
        </w:rPr>
        <w:t>Led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individual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tax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group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6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preparers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through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2017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federal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tax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law transition,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including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client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communications,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worksheet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redesign,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staff</w:t>
      </w:r>
    </w:p>
    <w:p>
      <w:pPr>
        <w:pStyle w:val="BodyText"/>
        <w:spacing w:before="46"/>
        <w:ind w:left="404"/>
      </w:pPr>
      <w:r>
        <w:rPr>
          <w:spacing w:val="-2"/>
          <w:w w:val="105"/>
        </w:rPr>
        <w:t>training.</w:t>
      </w:r>
    </w:p>
    <w:p>
      <w:pPr>
        <w:pStyle w:val="ListParagraph"/>
        <w:numPr>
          <w:ilvl w:val="0"/>
          <w:numId w:val="2"/>
        </w:numPr>
        <w:tabs>
          <w:tab w:pos="402" w:val="left" w:leader="none"/>
          <w:tab w:pos="404" w:val="left" w:leader="none"/>
        </w:tabs>
        <w:spacing w:line="208" w:lineRule="auto" w:before="81" w:after="0"/>
        <w:ind w:left="404" w:right="961" w:hanging="298"/>
        <w:jc w:val="left"/>
        <w:rPr>
          <w:sz w:val="16"/>
        </w:rPr>
      </w:pPr>
      <w:r>
        <w:rPr>
          <w:w w:val="105"/>
          <w:sz w:val="16"/>
        </w:rPr>
        <w:t>Reviewed 400+ high-net-worth 1040s per season, including trust K-1s,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alternative investment K-1s, and multi-state allocations.</w:t>
      </w:r>
    </w:p>
    <w:p>
      <w:pPr>
        <w:pStyle w:val="ListParagraph"/>
        <w:numPr>
          <w:ilvl w:val="0"/>
          <w:numId w:val="2"/>
        </w:numPr>
        <w:tabs>
          <w:tab w:pos="402" w:val="left" w:leader="none"/>
          <w:tab w:pos="404" w:val="left" w:leader="none"/>
        </w:tabs>
        <w:spacing w:line="196" w:lineRule="auto" w:before="96" w:after="0"/>
        <w:ind w:left="404" w:right="998" w:hanging="298"/>
        <w:jc w:val="left"/>
        <w:rPr>
          <w:sz w:val="16"/>
        </w:rPr>
      </w:pPr>
      <w:r>
        <w:rPr>
          <w:w w:val="105"/>
          <w:sz w:val="16"/>
        </w:rPr>
        <w:t>Built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firm's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first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written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tax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quality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control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policy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after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peer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review recommendation,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adopted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partners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2019.</w:t>
      </w:r>
    </w:p>
    <w:p>
      <w:pPr>
        <w:pStyle w:val="ListParagraph"/>
        <w:numPr>
          <w:ilvl w:val="0"/>
          <w:numId w:val="2"/>
        </w:numPr>
        <w:tabs>
          <w:tab w:pos="402" w:val="left" w:leader="none"/>
          <w:tab w:pos="404" w:val="left" w:leader="none"/>
        </w:tabs>
        <w:spacing w:line="196" w:lineRule="auto" w:before="112" w:after="0"/>
        <w:ind w:left="404" w:right="400" w:hanging="298"/>
        <w:jc w:val="left"/>
        <w:rPr>
          <w:sz w:val="16"/>
        </w:rPr>
      </w:pPr>
      <w:r>
        <w:rPr>
          <w:w w:val="105"/>
          <w:sz w:val="16"/>
        </w:rPr>
        <w:t>Mentored two staff through the CPA exam and one through the Enrolled Agent</w:t>
      </w:r>
      <w:r>
        <w:rPr>
          <w:spacing w:val="40"/>
          <w:w w:val="105"/>
          <w:sz w:val="16"/>
        </w:rPr>
        <w:t> </w:t>
      </w:r>
      <w:r>
        <w:rPr>
          <w:spacing w:val="-4"/>
          <w:w w:val="105"/>
          <w:sz w:val="16"/>
        </w:rPr>
        <w:t>exam.</w:t>
      </w:r>
    </w:p>
    <w:p>
      <w:pPr>
        <w:pStyle w:val="ListParagraph"/>
        <w:numPr>
          <w:ilvl w:val="0"/>
          <w:numId w:val="2"/>
        </w:numPr>
        <w:tabs>
          <w:tab w:pos="402" w:val="left" w:leader="none"/>
          <w:tab w:pos="404" w:val="left" w:leader="none"/>
        </w:tabs>
        <w:spacing w:line="196" w:lineRule="auto" w:before="97" w:after="0"/>
        <w:ind w:left="404" w:right="457" w:hanging="298"/>
        <w:jc w:val="left"/>
        <w:rPr>
          <w:sz w:val="16"/>
        </w:rPr>
      </w:pPr>
      <w:r>
        <w:rPr>
          <w:w w:val="105"/>
          <w:sz w:val="16"/>
        </w:rPr>
        <w:t>Managed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firm's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response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state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sales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tax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nexus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notice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affecting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14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e-commerce clients following the Wayfair decision.</w:t>
      </w:r>
    </w:p>
    <w:p>
      <w:pPr>
        <w:pStyle w:val="ListParagraph"/>
        <w:spacing w:after="0" w:line="196" w:lineRule="auto"/>
        <w:jc w:val="left"/>
        <w:rPr>
          <w:sz w:val="16"/>
        </w:rPr>
        <w:sectPr>
          <w:type w:val="continuous"/>
          <w:pgSz w:w="11920" w:h="16860"/>
          <w:pgMar w:top="0" w:bottom="0" w:left="283" w:right="0"/>
          <w:cols w:num="2" w:equalWidth="0">
            <w:col w:w="3673" w:space="1070"/>
            <w:col w:w="6894"/>
          </w:cols>
        </w:sectPr>
      </w:pPr>
    </w:p>
    <w:p>
      <w:pPr>
        <w:pStyle w:val="ListParagraph"/>
        <w:numPr>
          <w:ilvl w:val="1"/>
          <w:numId w:val="2"/>
        </w:numPr>
        <w:tabs>
          <w:tab w:pos="719" w:val="left" w:leader="none"/>
        </w:tabs>
        <w:spacing w:line="342" w:lineRule="exact" w:before="66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IRS</w:t>
      </w:r>
      <w:r>
        <w:rPr>
          <w:color w:val="FFFFFF"/>
          <w:spacing w:val="6"/>
          <w:w w:val="105"/>
          <w:sz w:val="18"/>
        </w:rPr>
        <w:t> </w:t>
      </w:r>
      <w:r>
        <w:rPr>
          <w:color w:val="FFFFFF"/>
          <w:w w:val="105"/>
          <w:sz w:val="18"/>
        </w:rPr>
        <w:t>and</w:t>
      </w:r>
      <w:r>
        <w:rPr>
          <w:color w:val="FFFFFF"/>
          <w:spacing w:val="7"/>
          <w:w w:val="105"/>
          <w:sz w:val="18"/>
        </w:rPr>
        <w:t> </w:t>
      </w:r>
      <w:r>
        <w:rPr>
          <w:color w:val="FFFFFF"/>
          <w:w w:val="105"/>
          <w:sz w:val="18"/>
        </w:rPr>
        <w:t>state</w:t>
      </w:r>
      <w:r>
        <w:rPr>
          <w:color w:val="FFFFFF"/>
          <w:spacing w:val="7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examination</w:t>
      </w:r>
    </w:p>
    <w:p>
      <w:pPr>
        <w:spacing w:line="108" w:lineRule="exact" w:before="0"/>
        <w:ind w:left="720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representation</w:t>
      </w:r>
    </w:p>
    <w:p>
      <w:pPr>
        <w:pStyle w:val="BodyText"/>
        <w:spacing w:before="19"/>
        <w:ind w:left="423"/>
      </w:pPr>
      <w:r>
        <w:rPr/>
        <w:br w:type="column"/>
      </w:r>
      <w:r>
        <w:rPr>
          <w:w w:val="105"/>
        </w:rPr>
        <w:t>Tax</w:t>
      </w:r>
      <w:r>
        <w:rPr>
          <w:spacing w:val="8"/>
          <w:w w:val="105"/>
        </w:rPr>
        <w:t> </w:t>
      </w:r>
      <w:r>
        <w:rPr>
          <w:w w:val="105"/>
        </w:rPr>
        <w:t>Senior</w:t>
      </w:r>
      <w:r>
        <w:rPr>
          <w:spacing w:val="15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15"/>
          <w:w w:val="105"/>
          <w:position w:val="2"/>
        </w:rPr>
        <w:t> </w:t>
      </w:r>
      <w:r>
        <w:rPr>
          <w:w w:val="105"/>
        </w:rPr>
        <w:t>Ostrowski</w:t>
      </w:r>
      <w:r>
        <w:rPr>
          <w:spacing w:val="8"/>
          <w:w w:val="105"/>
        </w:rPr>
        <w:t> </w:t>
      </w:r>
      <w:r>
        <w:rPr>
          <w:w w:val="105"/>
        </w:rPr>
        <w:t>&amp;</w:t>
      </w:r>
      <w:r>
        <w:rPr>
          <w:spacing w:val="9"/>
          <w:w w:val="105"/>
        </w:rPr>
        <w:t> </w:t>
      </w:r>
      <w:r>
        <w:rPr>
          <w:w w:val="105"/>
        </w:rPr>
        <w:t>Hale</w:t>
      </w:r>
      <w:r>
        <w:rPr>
          <w:spacing w:val="8"/>
          <w:w w:val="105"/>
        </w:rPr>
        <w:t> </w:t>
      </w:r>
      <w:r>
        <w:rPr>
          <w:w w:val="105"/>
        </w:rPr>
        <w:t>CPAs,</w:t>
      </w:r>
      <w:r>
        <w:rPr>
          <w:spacing w:val="9"/>
          <w:w w:val="105"/>
        </w:rPr>
        <w:t> </w:t>
      </w:r>
      <w:r>
        <w:rPr>
          <w:w w:val="105"/>
        </w:rPr>
        <w:t>Warwick,</w:t>
      </w:r>
      <w:r>
        <w:rPr>
          <w:spacing w:val="8"/>
          <w:w w:val="105"/>
        </w:rPr>
        <w:t> </w:t>
      </w:r>
      <w:r>
        <w:rPr>
          <w:spacing w:val="-5"/>
          <w:w w:val="105"/>
        </w:rPr>
        <w:t>RI</w:t>
      </w:r>
    </w:p>
    <w:p>
      <w:pPr>
        <w:pStyle w:val="BodyText"/>
        <w:spacing w:before="38"/>
        <w:ind w:left="423"/>
      </w:pPr>
      <w:r>
        <w:rPr/>
        <w:t>2014</w:t>
      </w:r>
      <w:r>
        <w:rPr>
          <w:spacing w:val="17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-4"/>
        </w:rPr>
        <w:t>2017</w:t>
      </w:r>
    </w:p>
    <w:p>
      <w:pPr>
        <w:pStyle w:val="BodyText"/>
        <w:spacing w:after="0"/>
        <w:sectPr>
          <w:type w:val="continuous"/>
          <w:pgSz w:w="11920" w:h="16860"/>
          <w:pgMar w:top="0" w:bottom="0" w:left="283" w:right="0"/>
          <w:cols w:num="2" w:equalWidth="0">
            <w:col w:w="3031" w:space="969"/>
            <w:col w:w="7637"/>
          </w:cols>
        </w:sectPr>
      </w:pPr>
    </w:p>
    <w:p>
      <w:pPr>
        <w:pStyle w:val="ListParagraph"/>
        <w:numPr>
          <w:ilvl w:val="1"/>
          <w:numId w:val="2"/>
        </w:numPr>
        <w:tabs>
          <w:tab w:pos="718" w:val="left" w:leader="none"/>
          <w:tab w:pos="720" w:val="left" w:leader="none"/>
        </w:tabs>
        <w:spacing w:line="216" w:lineRule="auto" w:before="174" w:after="0"/>
        <w:ind w:left="720" w:right="38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Firm workflow and quality control </w:t>
      </w:r>
      <w:r>
        <w:rPr>
          <w:color w:val="FFFFFF"/>
          <w:spacing w:val="-2"/>
          <w:w w:val="105"/>
          <w:sz w:val="18"/>
        </w:rPr>
        <w:t>design</w:t>
      </w:r>
    </w:p>
    <w:p>
      <w:pPr>
        <w:pStyle w:val="ListParagraph"/>
        <w:numPr>
          <w:ilvl w:val="1"/>
          <w:numId w:val="2"/>
        </w:numPr>
        <w:tabs>
          <w:tab w:pos="719" w:val="left" w:leader="none"/>
        </w:tabs>
        <w:spacing w:line="351" w:lineRule="exact" w:before="69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Client</w:t>
      </w:r>
      <w:r>
        <w:rPr>
          <w:color w:val="FFFFFF"/>
          <w:spacing w:val="16"/>
          <w:w w:val="105"/>
          <w:sz w:val="18"/>
        </w:rPr>
        <w:t> </w:t>
      </w:r>
      <w:r>
        <w:rPr>
          <w:color w:val="FFFFFF"/>
          <w:w w:val="105"/>
          <w:sz w:val="18"/>
        </w:rPr>
        <w:t>relationship</w:t>
      </w:r>
      <w:r>
        <w:rPr>
          <w:color w:val="FFFFFF"/>
          <w:spacing w:val="16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management</w:t>
      </w:r>
    </w:p>
    <w:p>
      <w:pPr>
        <w:pStyle w:val="ListParagraph"/>
        <w:numPr>
          <w:ilvl w:val="1"/>
          <w:numId w:val="2"/>
        </w:numPr>
        <w:tabs>
          <w:tab w:pos="719" w:val="left" w:leader="none"/>
        </w:tabs>
        <w:spacing w:line="345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Practice</w:t>
      </w:r>
      <w:r>
        <w:rPr>
          <w:color w:val="FFFFFF"/>
          <w:spacing w:val="9"/>
          <w:w w:val="105"/>
          <w:sz w:val="18"/>
        </w:rPr>
        <w:t> </w:t>
      </w:r>
      <w:r>
        <w:rPr>
          <w:color w:val="FFFFFF"/>
          <w:w w:val="105"/>
          <w:sz w:val="18"/>
        </w:rPr>
        <w:t>growth</w:t>
      </w:r>
      <w:r>
        <w:rPr>
          <w:color w:val="FFFFFF"/>
          <w:spacing w:val="10"/>
          <w:w w:val="105"/>
          <w:sz w:val="18"/>
        </w:rPr>
        <w:t> </w:t>
      </w:r>
      <w:r>
        <w:rPr>
          <w:color w:val="FFFFFF"/>
          <w:w w:val="105"/>
          <w:sz w:val="18"/>
        </w:rPr>
        <w:t>and</w:t>
      </w:r>
      <w:r>
        <w:rPr>
          <w:color w:val="FFFFFF"/>
          <w:spacing w:val="9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pricing</w:t>
      </w:r>
    </w:p>
    <w:p>
      <w:pPr>
        <w:pStyle w:val="ListParagraph"/>
        <w:numPr>
          <w:ilvl w:val="1"/>
          <w:numId w:val="2"/>
        </w:numPr>
        <w:tabs>
          <w:tab w:pos="718" w:val="left" w:leader="none"/>
          <w:tab w:pos="720" w:val="left" w:leader="none"/>
        </w:tabs>
        <w:spacing w:line="216" w:lineRule="auto" w:before="18" w:after="0"/>
        <w:ind w:left="720" w:right="652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Staff training and CPA/EA </w:t>
      </w:r>
      <w:r>
        <w:rPr>
          <w:color w:val="FFFFFF"/>
          <w:spacing w:val="-2"/>
          <w:w w:val="105"/>
          <w:sz w:val="18"/>
        </w:rPr>
        <w:t>mentoring</w:t>
      </w:r>
    </w:p>
    <w:p>
      <w:pPr>
        <w:pStyle w:val="ListParagraph"/>
        <w:numPr>
          <w:ilvl w:val="1"/>
          <w:numId w:val="2"/>
        </w:numPr>
        <w:tabs>
          <w:tab w:pos="718" w:val="left" w:leader="none"/>
          <w:tab w:pos="720" w:val="left" w:leader="none"/>
        </w:tabs>
        <w:spacing w:line="196" w:lineRule="auto" w:before="37" w:after="0"/>
        <w:ind w:left="720" w:right="358" w:hanging="298"/>
        <w:jc w:val="left"/>
        <w:rPr>
          <w:position w:val="-5"/>
          <w:sz w:val="31"/>
        </w:rPr>
      </w:pPr>
      <w:r>
        <w:rPr/>
        <w:br w:type="column"/>
      </w:r>
      <w:r>
        <w:rPr>
          <w:w w:val="105"/>
          <w:sz w:val="16"/>
        </w:rPr>
        <w:t>Prepared and reviewed 1040, 1065, 1120-S, and 1041 returns for a portfolio of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family businesses and their owners.</w:t>
      </w:r>
    </w:p>
    <w:p>
      <w:pPr>
        <w:pStyle w:val="ListParagraph"/>
        <w:numPr>
          <w:ilvl w:val="1"/>
          <w:numId w:val="2"/>
        </w:numPr>
        <w:tabs>
          <w:tab w:pos="718" w:val="left" w:leader="none"/>
          <w:tab w:pos="720" w:val="left" w:leader="none"/>
        </w:tabs>
        <w:spacing w:line="208" w:lineRule="auto" w:before="85" w:after="0"/>
        <w:ind w:left="720" w:right="505" w:hanging="298"/>
        <w:jc w:val="left"/>
        <w:rPr>
          <w:position w:val="-5"/>
          <w:sz w:val="31"/>
        </w:rPr>
      </w:pPr>
      <w:r>
        <w:rPr>
          <w:w w:val="105"/>
          <w:sz w:val="16"/>
        </w:rPr>
        <w:t>Ran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intern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training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program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two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busy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seasons,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including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two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hours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of weekly technical sessions.</w:t>
      </w:r>
    </w:p>
    <w:p>
      <w:pPr>
        <w:pStyle w:val="ListParagraph"/>
        <w:numPr>
          <w:ilvl w:val="1"/>
          <w:numId w:val="2"/>
        </w:numPr>
        <w:tabs>
          <w:tab w:pos="718" w:val="left" w:leader="none"/>
          <w:tab w:pos="720" w:val="left" w:leader="none"/>
        </w:tabs>
        <w:spacing w:line="196" w:lineRule="auto" w:before="96" w:after="0"/>
        <w:ind w:left="720" w:right="599" w:hanging="298"/>
        <w:jc w:val="left"/>
        <w:rPr>
          <w:position w:val="-5"/>
          <w:sz w:val="31"/>
        </w:rPr>
      </w:pPr>
      <w:r>
        <w:rPr>
          <w:w w:val="105"/>
          <w:sz w:val="16"/>
        </w:rPr>
        <w:t>Drafted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firm's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client-facing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summaries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2017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federal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tax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law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changes affecting pass-through owners.</w:t>
      </w:r>
    </w:p>
    <w:p>
      <w:pPr>
        <w:pStyle w:val="ListParagraph"/>
        <w:numPr>
          <w:ilvl w:val="1"/>
          <w:numId w:val="2"/>
        </w:numPr>
        <w:tabs>
          <w:tab w:pos="718" w:val="left" w:leader="none"/>
          <w:tab w:pos="720" w:val="left" w:leader="none"/>
        </w:tabs>
        <w:spacing w:line="196" w:lineRule="auto" w:before="112" w:after="0"/>
        <w:ind w:left="720" w:right="301" w:hanging="298"/>
        <w:jc w:val="left"/>
        <w:rPr>
          <w:position w:val="-5"/>
          <w:sz w:val="31"/>
        </w:rPr>
      </w:pPr>
      <w:r>
        <w:rPr>
          <w:w w:val="105"/>
          <w:sz w:val="16"/>
        </w:rPr>
        <w:t>Handled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quarterly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estimated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tax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planning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approximately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45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business-owner </w:t>
      </w:r>
      <w:r>
        <w:rPr>
          <w:spacing w:val="-2"/>
          <w:w w:val="105"/>
          <w:sz w:val="16"/>
        </w:rPr>
        <w:t>clients.</w:t>
      </w:r>
    </w:p>
    <w:p>
      <w:pPr>
        <w:pStyle w:val="ListParagraph"/>
        <w:spacing w:after="0" w:line="196" w:lineRule="auto"/>
        <w:jc w:val="left"/>
        <w:rPr>
          <w:position w:val="-5"/>
          <w:sz w:val="31"/>
        </w:rPr>
        <w:sectPr>
          <w:type w:val="continuous"/>
          <w:pgSz w:w="11920" w:h="16860"/>
          <w:pgMar w:top="0" w:bottom="0" w:left="283" w:right="0"/>
          <w:cols w:num="2" w:equalWidth="0">
            <w:col w:w="3587" w:space="840"/>
            <w:col w:w="7210"/>
          </w:cols>
        </w:sectPr>
      </w:pPr>
    </w:p>
    <w:p>
      <w:pPr>
        <w:pStyle w:val="BodyText"/>
        <w:spacing w:before="8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206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24150" cy="10706100"/>
                <wp:effectExtent l="0" t="0" r="0" b="0"/>
                <wp:wrapNone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2724150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24150" h="10706100">
                              <a:moveTo>
                                <a:pt x="2724149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724149" y="0"/>
                              </a:lnTo>
                              <a:lnTo>
                                <a:pt x="2724149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42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214.499983pt;height:842.999933pt;mso-position-horizontal-relative:page;mso-position-vertical-relative:page;z-index:-15804416" id="docshape11" filled="true" fillcolor="#424242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ind w:left="4422"/>
      </w:pPr>
      <w:r>
        <w:rPr>
          <w:w w:val="105"/>
        </w:rPr>
        <w:t>Tax</w:t>
      </w:r>
      <w:r>
        <w:rPr>
          <w:spacing w:val="8"/>
          <w:w w:val="105"/>
        </w:rPr>
        <w:t> </w:t>
      </w:r>
      <w:r>
        <w:rPr>
          <w:w w:val="105"/>
        </w:rPr>
        <w:t>Staff</w:t>
      </w:r>
      <w:r>
        <w:rPr>
          <w:spacing w:val="14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14"/>
          <w:w w:val="105"/>
          <w:position w:val="2"/>
        </w:rPr>
        <w:t> </w:t>
      </w:r>
      <w:r>
        <w:rPr>
          <w:w w:val="105"/>
        </w:rPr>
        <w:t>Ostrowski</w:t>
      </w:r>
      <w:r>
        <w:rPr>
          <w:spacing w:val="8"/>
          <w:w w:val="105"/>
        </w:rPr>
        <w:t> </w:t>
      </w:r>
      <w:r>
        <w:rPr>
          <w:w w:val="105"/>
        </w:rPr>
        <w:t>&amp;</w:t>
      </w:r>
      <w:r>
        <w:rPr>
          <w:spacing w:val="8"/>
          <w:w w:val="105"/>
        </w:rPr>
        <w:t> </w:t>
      </w:r>
      <w:r>
        <w:rPr>
          <w:w w:val="105"/>
        </w:rPr>
        <w:t>Hale</w:t>
      </w:r>
      <w:r>
        <w:rPr>
          <w:spacing w:val="8"/>
          <w:w w:val="105"/>
        </w:rPr>
        <w:t> </w:t>
      </w:r>
      <w:r>
        <w:rPr>
          <w:w w:val="105"/>
        </w:rPr>
        <w:t>CPAs,</w:t>
      </w:r>
      <w:r>
        <w:rPr>
          <w:spacing w:val="8"/>
          <w:w w:val="105"/>
        </w:rPr>
        <w:t> </w:t>
      </w:r>
      <w:r>
        <w:rPr>
          <w:w w:val="105"/>
        </w:rPr>
        <w:t>Warwick,</w:t>
      </w:r>
      <w:r>
        <w:rPr>
          <w:spacing w:val="8"/>
          <w:w w:val="105"/>
        </w:rPr>
        <w:t> </w:t>
      </w:r>
      <w:r>
        <w:rPr>
          <w:spacing w:val="-5"/>
          <w:w w:val="105"/>
        </w:rPr>
        <w:t>RI</w:t>
      </w:r>
    </w:p>
    <w:p>
      <w:pPr>
        <w:pStyle w:val="BodyText"/>
        <w:spacing w:before="38"/>
        <w:ind w:left="4422"/>
      </w:pPr>
      <w:r>
        <w:rPr/>
        <w:t>2011</w:t>
      </w:r>
      <w:r>
        <w:rPr>
          <w:spacing w:val="17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-4"/>
        </w:rPr>
        <w:t>2014</w:t>
      </w:r>
    </w:p>
    <w:p>
      <w:pPr>
        <w:pStyle w:val="BodyText"/>
        <w:spacing w:after="0"/>
        <w:sectPr>
          <w:type w:val="continuous"/>
          <w:pgSz w:w="11920" w:h="16860"/>
          <w:pgMar w:top="0" w:bottom="0" w:left="283" w:right="0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411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24150" cy="10704830"/>
                <wp:effectExtent l="0" t="0" r="0" b="0"/>
                <wp:wrapNone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2724150" cy="10704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24150" h="10704830">
                              <a:moveTo>
                                <a:pt x="0" y="10704575"/>
                              </a:moveTo>
                              <a:lnTo>
                                <a:pt x="0" y="0"/>
                              </a:lnTo>
                              <a:lnTo>
                                <a:pt x="2724149" y="0"/>
                              </a:lnTo>
                              <a:lnTo>
                                <a:pt x="2724149" y="10704575"/>
                              </a:lnTo>
                              <a:lnTo>
                                <a:pt x="0" y="107045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42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28pt;width:214.499981pt;height:842.879997pt;mso-position-horizontal-relative:page;mso-position-vertical-relative:page;z-index:-15802368" id="docshape12" filled="true" fillcolor="#424242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spacing w:before="85"/>
      </w:pPr>
    </w:p>
    <w:p>
      <w:pPr>
        <w:pStyle w:val="ListParagraph"/>
        <w:numPr>
          <w:ilvl w:val="2"/>
          <w:numId w:val="2"/>
        </w:numPr>
        <w:tabs>
          <w:tab w:pos="5145" w:val="left" w:leader="none"/>
          <w:tab w:pos="5147" w:val="left" w:leader="none"/>
        </w:tabs>
        <w:spacing w:line="196" w:lineRule="auto" w:before="0" w:after="0"/>
        <w:ind w:left="5147" w:right="302" w:hanging="298"/>
        <w:jc w:val="left"/>
        <w:rPr>
          <w:position w:val="-5"/>
          <w:sz w:val="31"/>
        </w:rPr>
      </w:pPr>
      <w:r>
        <w:rPr>
          <w:w w:val="105"/>
          <w:sz w:val="16"/>
        </w:rPr>
        <w:t>Prepared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220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280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individual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returns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season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progressive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complexity, including Schedule C, E, and F clients.</w:t>
      </w:r>
    </w:p>
    <w:p>
      <w:pPr>
        <w:pStyle w:val="ListParagraph"/>
        <w:numPr>
          <w:ilvl w:val="2"/>
          <w:numId w:val="2"/>
        </w:numPr>
        <w:tabs>
          <w:tab w:pos="5146" w:val="left" w:leader="none"/>
        </w:tabs>
        <w:spacing w:line="336" w:lineRule="exact" w:before="70" w:after="0"/>
        <w:ind w:left="5146" w:right="0" w:hanging="296"/>
        <w:jc w:val="left"/>
        <w:rPr>
          <w:position w:val="-5"/>
          <w:sz w:val="31"/>
        </w:rPr>
      </w:pPr>
      <w:r>
        <w:rPr>
          <w:w w:val="105"/>
          <w:sz w:val="16"/>
        </w:rPr>
        <w:t>Passed</w:t>
      </w:r>
      <w:r>
        <w:rPr>
          <w:spacing w:val="11"/>
          <w:w w:val="105"/>
          <w:sz w:val="16"/>
        </w:rPr>
        <w:t> </w:t>
      </w:r>
      <w:r>
        <w:rPr>
          <w:w w:val="105"/>
          <w:sz w:val="16"/>
        </w:rPr>
        <w:t>all</w:t>
      </w:r>
      <w:r>
        <w:rPr>
          <w:spacing w:val="12"/>
          <w:w w:val="105"/>
          <w:sz w:val="16"/>
        </w:rPr>
        <w:t> </w:t>
      </w:r>
      <w:r>
        <w:rPr>
          <w:w w:val="105"/>
          <w:sz w:val="16"/>
        </w:rPr>
        <w:t>four</w:t>
      </w:r>
      <w:r>
        <w:rPr>
          <w:spacing w:val="12"/>
          <w:w w:val="105"/>
          <w:sz w:val="16"/>
        </w:rPr>
        <w:t> </w:t>
      </w:r>
      <w:r>
        <w:rPr>
          <w:w w:val="105"/>
          <w:sz w:val="16"/>
        </w:rPr>
        <w:t>sections</w:t>
      </w:r>
      <w:r>
        <w:rPr>
          <w:spacing w:val="11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12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12"/>
          <w:w w:val="105"/>
          <w:sz w:val="16"/>
        </w:rPr>
        <w:t> </w:t>
      </w:r>
      <w:r>
        <w:rPr>
          <w:w w:val="105"/>
          <w:sz w:val="16"/>
        </w:rPr>
        <w:t>CPA</w:t>
      </w:r>
      <w:r>
        <w:rPr>
          <w:spacing w:val="12"/>
          <w:w w:val="105"/>
          <w:sz w:val="16"/>
        </w:rPr>
        <w:t> </w:t>
      </w:r>
      <w:r>
        <w:rPr>
          <w:w w:val="105"/>
          <w:sz w:val="16"/>
        </w:rPr>
        <w:t>exam</w:t>
      </w:r>
      <w:r>
        <w:rPr>
          <w:spacing w:val="11"/>
          <w:w w:val="105"/>
          <w:sz w:val="16"/>
        </w:rPr>
        <w:t> </w:t>
      </w:r>
      <w:r>
        <w:rPr>
          <w:w w:val="105"/>
          <w:sz w:val="16"/>
        </w:rPr>
        <w:t>within</w:t>
      </w:r>
      <w:r>
        <w:rPr>
          <w:spacing w:val="12"/>
          <w:w w:val="105"/>
          <w:sz w:val="16"/>
        </w:rPr>
        <w:t> </w:t>
      </w:r>
      <w:r>
        <w:rPr>
          <w:w w:val="105"/>
          <w:sz w:val="16"/>
        </w:rPr>
        <w:t>11</w:t>
      </w:r>
      <w:r>
        <w:rPr>
          <w:spacing w:val="12"/>
          <w:w w:val="105"/>
          <w:sz w:val="16"/>
        </w:rPr>
        <w:t> </w:t>
      </w:r>
      <w:r>
        <w:rPr>
          <w:w w:val="105"/>
          <w:sz w:val="16"/>
        </w:rPr>
        <w:t>months</w:t>
      </w:r>
      <w:r>
        <w:rPr>
          <w:spacing w:val="12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11"/>
          <w:w w:val="105"/>
          <w:sz w:val="16"/>
        </w:rPr>
        <w:t> </w:t>
      </w:r>
      <w:r>
        <w:rPr>
          <w:spacing w:val="-2"/>
          <w:w w:val="105"/>
          <w:sz w:val="16"/>
        </w:rPr>
        <w:t>hire.</w:t>
      </w:r>
    </w:p>
    <w:p>
      <w:pPr>
        <w:pStyle w:val="ListParagraph"/>
        <w:numPr>
          <w:ilvl w:val="2"/>
          <w:numId w:val="2"/>
        </w:numPr>
        <w:tabs>
          <w:tab w:pos="5145" w:val="left" w:leader="none"/>
          <w:tab w:pos="5147" w:val="left" w:leader="none"/>
        </w:tabs>
        <w:spacing w:line="196" w:lineRule="auto" w:before="21" w:after="0"/>
        <w:ind w:left="5147" w:right="649" w:hanging="298"/>
        <w:jc w:val="left"/>
        <w:rPr>
          <w:position w:val="-5"/>
          <w:sz w:val="31"/>
        </w:rPr>
      </w:pPr>
      <w:r>
        <w:rPr>
          <w:w w:val="105"/>
          <w:sz w:val="16"/>
        </w:rPr>
        <w:t>Assisted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1041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fiduciary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returns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learned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trust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accounting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income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vs distributable net income calculations.</w:t>
      </w:r>
    </w:p>
    <w:p>
      <w:pPr>
        <w:pStyle w:val="ListParagraph"/>
        <w:numPr>
          <w:ilvl w:val="2"/>
          <w:numId w:val="2"/>
        </w:numPr>
        <w:tabs>
          <w:tab w:pos="5145" w:val="left" w:leader="none"/>
          <w:tab w:pos="5147" w:val="left" w:leader="none"/>
        </w:tabs>
        <w:spacing w:line="204" w:lineRule="auto" w:before="96" w:after="0"/>
        <w:ind w:left="5147" w:right="448" w:hanging="298"/>
        <w:jc w:val="left"/>
        <w:rPr>
          <w:position w:val="-4"/>
          <w:sz w:val="31"/>
        </w:rPr>
      </w:pPr>
      <w:r>
        <w:rPr>
          <w:w w:val="105"/>
          <w:sz w:val="16"/>
        </w:rPr>
        <w:t>Reconciled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QuickBooks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files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30+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Schedule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C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clients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each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January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before tax prep began.</w:t>
      </w:r>
    </w:p>
    <w:sectPr>
      <w:pgSz w:w="11920" w:h="16860"/>
      <w:pgMar w:top="0" w:bottom="0" w:left="283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404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5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20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147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283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426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570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713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56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0" w:hanging="298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720" w:hanging="298"/>
      </w:pPr>
      <w:rPr>
        <w:rFonts w:hint="default" w:ascii="Arial" w:hAnsi="Arial" w:eastAsia="Arial" w:cs="Arial"/>
        <w:b w:val="0"/>
        <w:bCs w:val="0"/>
        <w:i w:val="0"/>
        <w:iCs w:val="0"/>
        <w:color w:val="FFFFFF"/>
        <w:spacing w:val="0"/>
        <w:w w:val="102"/>
        <w:position w:val="-4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32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5"/>
        <w:sz w:val="31"/>
        <w:szCs w:val="3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81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23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65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07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9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110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268" w:hanging="298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830" w:lineRule="exact"/>
      <w:ind w:right="366"/>
      <w:jc w:val="center"/>
      <w:outlineLvl w:val="1"/>
    </w:pPr>
    <w:rPr>
      <w:rFonts w:ascii="Arial" w:hAnsi="Arial" w:eastAsia="Arial" w:cs="Arial"/>
      <w:b/>
      <w:bCs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07"/>
      <w:outlineLvl w:val="2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192"/>
      <w:ind w:right="355"/>
      <w:jc w:val="center"/>
      <w:outlineLvl w:val="3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720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alejandro.duarte@example.com" TargetMode="External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2026-09-20T14:16:19Z</dcterms:created>
  <dcterms:modified xsi:type="dcterms:W3CDTF">2026-09-20T14:16:19Z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2026-09-20T00:00:00Z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2026-09-20T00:00:00Z</vt:filetime>
  </property>
  <property fmtid="{D5CDD505-2E9C-101B-9397-08002B2CF9AE}" pid="5" name="Producer">
    <vt:lpwstr>pdf-merger-js</vt:lpwstr>
  </property>
</Properties>
</file>